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15" w:rsidRPr="00A96E5F" w:rsidRDefault="00FE4F15" w:rsidP="00FE4F15">
      <w:pPr>
        <w:spacing w:after="120"/>
        <w:jc w:val="center"/>
        <w:rPr>
          <w:rFonts w:asciiTheme="minorHAnsi" w:eastAsia="Times New Roman" w:hAnsiTheme="minorHAnsi" w:cs="Arial"/>
          <w:b/>
          <w:kern w:val="2"/>
          <w:lang w:eastAsia="pl-PL"/>
        </w:rPr>
      </w:pPr>
    </w:p>
    <w:p w:rsidR="00FE4F15" w:rsidRPr="00A96E5F" w:rsidRDefault="00FE4F15" w:rsidP="00FE4F15">
      <w:pPr>
        <w:spacing w:after="120"/>
        <w:jc w:val="center"/>
        <w:rPr>
          <w:rFonts w:asciiTheme="minorHAnsi" w:eastAsia="Times New Roman" w:hAnsiTheme="minorHAnsi" w:cs="Arial"/>
          <w:b/>
          <w:kern w:val="2"/>
          <w:lang w:eastAsia="pl-PL"/>
        </w:rPr>
      </w:pPr>
      <w:r w:rsidRPr="00A96E5F">
        <w:rPr>
          <w:rFonts w:asciiTheme="minorHAnsi" w:eastAsia="Times New Roman" w:hAnsiTheme="minorHAnsi" w:cs="Arial"/>
          <w:b/>
          <w:kern w:val="2"/>
          <w:lang w:eastAsia="pl-PL"/>
        </w:rPr>
        <w:t>Regulamin rekrutacji do projektu</w:t>
      </w:r>
    </w:p>
    <w:p w:rsidR="00FE4F15" w:rsidRPr="00A96E5F" w:rsidRDefault="00FE4F15" w:rsidP="00FE4F15">
      <w:pPr>
        <w:spacing w:after="120"/>
        <w:jc w:val="center"/>
        <w:rPr>
          <w:rFonts w:asciiTheme="minorHAnsi" w:eastAsia="Times New Roman" w:hAnsiTheme="minorHAnsi" w:cs="Arial"/>
          <w:i/>
          <w:kern w:val="2"/>
          <w:lang w:eastAsia="pl-PL"/>
        </w:rPr>
      </w:pPr>
      <w:r w:rsidRPr="00A96E5F">
        <w:rPr>
          <w:rFonts w:asciiTheme="minorHAnsi" w:eastAsia="Times New Roman" w:hAnsiTheme="minorHAnsi" w:cs="Arial"/>
          <w:b/>
          <w:i/>
          <w:kern w:val="2"/>
          <w:lang w:eastAsia="pl-PL"/>
        </w:rPr>
        <w:t>Przestrzeń do rozmowy - rozbudowany system konsultacji społecznych w planowaniu przestrzennym</w:t>
      </w:r>
    </w:p>
    <w:p w:rsidR="00FE4F15" w:rsidRPr="00A96E5F" w:rsidRDefault="00FE4F15" w:rsidP="00FE4F15">
      <w:pPr>
        <w:spacing w:after="120"/>
        <w:ind w:left="567" w:hanging="567"/>
        <w:jc w:val="center"/>
        <w:rPr>
          <w:rFonts w:asciiTheme="minorHAnsi" w:eastAsia="Times New Roman" w:hAnsiTheme="minorHAnsi" w:cs="Arial"/>
          <w:i/>
          <w:kern w:val="2"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  <w:b/>
          <w:lang w:eastAsia="pl-PL"/>
        </w:rPr>
        <w:t>Postanowienia</w:t>
      </w:r>
      <w:r w:rsidRPr="00A96E5F">
        <w:rPr>
          <w:rFonts w:asciiTheme="minorHAnsi" w:eastAsia="Times New Roman" w:hAnsiTheme="minorHAnsi" w:cs="Arial"/>
          <w:b/>
          <w:lang w:eastAsia="pl-PL"/>
        </w:rPr>
        <w:t xml:space="preserve"> ogólne</w:t>
      </w:r>
    </w:p>
    <w:p w:rsidR="00FE4F15" w:rsidRPr="00A96E5F" w:rsidRDefault="00FE4F15" w:rsidP="00FE4F15">
      <w:pPr>
        <w:pStyle w:val="Akapitzlist"/>
        <w:numPr>
          <w:ilvl w:val="1"/>
          <w:numId w:val="2"/>
        </w:numPr>
        <w:spacing w:after="120"/>
        <w:ind w:left="1276" w:hanging="556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</w:rPr>
        <w:t>Regulamin dotyc</w:t>
      </w:r>
      <w:r>
        <w:rPr>
          <w:rFonts w:asciiTheme="minorHAnsi" w:hAnsiTheme="minorHAnsi"/>
        </w:rPr>
        <w:t>zy rekrutacji gmin z województw: dolnośląskiego,</w:t>
      </w:r>
      <w:r w:rsidRPr="00A96E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lubuskiego, łódzkiego, małopolskiego, mazowieckiego, </w:t>
      </w:r>
      <w:r w:rsidRPr="00A96E5F">
        <w:rPr>
          <w:rFonts w:asciiTheme="minorHAnsi" w:hAnsiTheme="minorHAnsi"/>
        </w:rPr>
        <w:t>opolskiego</w:t>
      </w:r>
      <w:r>
        <w:rPr>
          <w:rFonts w:asciiTheme="minorHAnsi" w:hAnsiTheme="minorHAnsi"/>
        </w:rPr>
        <w:t>, podkarpackiego, pomorskiego,</w:t>
      </w:r>
      <w:r w:rsidRPr="00A96E5F">
        <w:rPr>
          <w:rFonts w:asciiTheme="minorHAnsi" w:hAnsiTheme="minorHAnsi"/>
        </w:rPr>
        <w:t xml:space="preserve"> śląskiego, </w:t>
      </w:r>
      <w:r>
        <w:rPr>
          <w:rFonts w:asciiTheme="minorHAnsi" w:hAnsiTheme="minorHAnsi"/>
        </w:rPr>
        <w:t xml:space="preserve">świętokrzyskiego i wielkopolskiego, </w:t>
      </w:r>
      <w:r w:rsidRPr="00A96E5F">
        <w:rPr>
          <w:rFonts w:asciiTheme="minorHAnsi" w:hAnsiTheme="minorHAnsi"/>
        </w:rPr>
        <w:t xml:space="preserve">które są </w:t>
      </w:r>
      <w:r w:rsidRPr="00A96E5F">
        <w:rPr>
          <w:rFonts w:asciiTheme="minorHAnsi" w:hAnsiTheme="minorHAnsi"/>
          <w:lang w:eastAsia="pl-PL"/>
        </w:rPr>
        <w:t>zainteresowane</w:t>
      </w:r>
      <w:r w:rsidRPr="00A96E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udziałem w </w:t>
      </w:r>
      <w:r w:rsidRPr="00A96E5F">
        <w:rPr>
          <w:rFonts w:asciiTheme="minorHAnsi" w:hAnsiTheme="minorHAnsi"/>
        </w:rPr>
        <w:t xml:space="preserve">projekcie </w:t>
      </w:r>
      <w:r w:rsidRPr="00A96E5F">
        <w:rPr>
          <w:rFonts w:asciiTheme="minorHAnsi" w:eastAsia="Times New Roman" w:hAnsiTheme="minorHAnsi" w:cs="Arial"/>
          <w:i/>
          <w:kern w:val="2"/>
          <w:lang w:eastAsia="pl-PL"/>
        </w:rPr>
        <w:t>Przestrzeń do rozmowy – rozbudowany s</w:t>
      </w:r>
      <w:r>
        <w:rPr>
          <w:rFonts w:asciiTheme="minorHAnsi" w:eastAsia="Times New Roman" w:hAnsiTheme="minorHAnsi" w:cs="Arial"/>
          <w:i/>
          <w:kern w:val="2"/>
          <w:lang w:eastAsia="pl-PL"/>
        </w:rPr>
        <w:t>ystem konsultacji społecznych w </w:t>
      </w:r>
      <w:r w:rsidRPr="00A96E5F">
        <w:rPr>
          <w:rFonts w:asciiTheme="minorHAnsi" w:eastAsia="Times New Roman" w:hAnsiTheme="minorHAnsi" w:cs="Arial"/>
          <w:i/>
          <w:kern w:val="2"/>
          <w:lang w:eastAsia="pl-PL"/>
        </w:rPr>
        <w:t>planowaniu przestrzennym</w:t>
      </w:r>
      <w:r w:rsidRPr="00A96E5F">
        <w:rPr>
          <w:rFonts w:asciiTheme="minorHAnsi" w:eastAsia="Times New Roman" w:hAnsiTheme="minorHAnsi" w:cs="Arial"/>
          <w:kern w:val="2"/>
          <w:lang w:eastAsia="pl-PL"/>
        </w:rPr>
        <w:t>, co umożliwia im</w:t>
      </w:r>
      <w:r w:rsidRPr="00A96E5F">
        <w:rPr>
          <w:rFonts w:asciiTheme="minorHAnsi" w:hAnsiTheme="minorHAnsi"/>
        </w:rPr>
        <w:t xml:space="preserve"> otrzymanie wsparcia merytorycznego</w:t>
      </w:r>
      <w:r>
        <w:rPr>
          <w:rFonts w:asciiTheme="minorHAnsi" w:hAnsiTheme="minorHAnsi"/>
        </w:rPr>
        <w:t xml:space="preserve"> i </w:t>
      </w:r>
      <w:r w:rsidRPr="00A96E5F">
        <w:rPr>
          <w:rFonts w:asciiTheme="minorHAnsi" w:hAnsiTheme="minorHAnsi"/>
        </w:rPr>
        <w:t>grantów służących przeprowadzeniu pogłębionych konsultacji społecznych dokumentów dotyczących planowania przestrzennego.</w:t>
      </w:r>
    </w:p>
    <w:p w:rsidR="00FE4F15" w:rsidRPr="00A96E5F" w:rsidRDefault="00FE4F15" w:rsidP="00FE4F15">
      <w:pPr>
        <w:pStyle w:val="Akapitzlist"/>
        <w:numPr>
          <w:ilvl w:val="1"/>
          <w:numId w:val="2"/>
        </w:numPr>
        <w:spacing w:after="120"/>
        <w:ind w:left="1276" w:hanging="556"/>
        <w:jc w:val="both"/>
        <w:rPr>
          <w:rFonts w:asciiTheme="minorHAnsi" w:hAnsiTheme="minorHAnsi"/>
        </w:rPr>
      </w:pPr>
      <w:r w:rsidRPr="00A96E5F">
        <w:rPr>
          <w:rFonts w:asciiTheme="minorHAnsi" w:hAnsiTheme="minorHAnsi"/>
        </w:rPr>
        <w:t xml:space="preserve">Nabór i wsparcie gmin są prowadzone w ramach projektu </w:t>
      </w:r>
      <w:r w:rsidRPr="00A96E5F">
        <w:rPr>
          <w:rFonts w:asciiTheme="minorHAnsi" w:hAnsiTheme="minorHAnsi"/>
          <w:i/>
        </w:rPr>
        <w:t>Przestrzeń do rozmowy – rozbudowany system konsultacji społecznych w planowaniu przestrzennym</w:t>
      </w:r>
      <w:r w:rsidRPr="00A96E5F">
        <w:rPr>
          <w:rFonts w:asciiTheme="minorHAnsi" w:hAnsiTheme="minorHAnsi"/>
        </w:rPr>
        <w:t xml:space="preserve">, </w:t>
      </w:r>
      <w:r w:rsidRPr="00A96E5F">
        <w:rPr>
          <w:rFonts w:asciiTheme="minorHAnsi" w:eastAsia="Times New Roman" w:hAnsiTheme="minorHAnsi" w:cs="Arial"/>
          <w:lang w:eastAsia="pl-PL"/>
        </w:rPr>
        <w:t xml:space="preserve">współfinansowanego ze środków Unii Europejskiej w konkursie na wzmocnienie procesu konsultacji społecznych w obszarze planowania i zagospodarowania przestrzennego (nr </w:t>
      </w:r>
      <w:r w:rsidRPr="00A96E5F">
        <w:rPr>
          <w:rFonts w:asciiTheme="minorHAnsi" w:hAnsiTheme="minorHAnsi"/>
        </w:rPr>
        <w:t>POWR.02.19.00-IZ.00-00-003/18</w:t>
      </w:r>
      <w:r w:rsidRPr="00A96E5F">
        <w:rPr>
          <w:rFonts w:asciiTheme="minorHAnsi" w:eastAsia="Times New Roman" w:hAnsiTheme="minorHAnsi" w:cs="Arial"/>
          <w:lang w:eastAsia="pl-PL"/>
        </w:rPr>
        <w:t>).</w:t>
      </w:r>
    </w:p>
    <w:p w:rsidR="00FE4F15" w:rsidRPr="00A96E5F" w:rsidRDefault="00FE4F15" w:rsidP="00FE4F15">
      <w:pPr>
        <w:pStyle w:val="Akapitzlist"/>
        <w:numPr>
          <w:ilvl w:val="1"/>
          <w:numId w:val="2"/>
        </w:numPr>
        <w:spacing w:after="120"/>
        <w:ind w:left="1276" w:hanging="556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Wsparcie zapewnia Partnerstwo w składzie: stowarzyszenie Centrum Rozwoju Inicjatyw Społecznych CRIS, stowarzyszenie Opolskie Centrum Wsparcia Inicjatyw Pozarządowych OCWIP oraz pracownia urbanistyczna Pro-Forma S.C.</w:t>
      </w:r>
    </w:p>
    <w:p w:rsidR="00FE4F15" w:rsidRPr="00A96E5F" w:rsidRDefault="00FE4F15" w:rsidP="00FE4F15">
      <w:pPr>
        <w:pStyle w:val="Akapitzlist"/>
        <w:numPr>
          <w:ilvl w:val="1"/>
          <w:numId w:val="2"/>
        </w:numPr>
        <w:spacing w:after="120"/>
        <w:ind w:left="1276" w:hanging="556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</w:rPr>
        <w:t>Przez pogłębione konsultacje społeczne należy rozumieć konsultacje wykraczające poza wymogi nakładane na gminy na mocy przepisów ustawy z dnia 27 marca 2003 r. o planowaniu i zagospodarowaniu przestrzennym. W ramach procesu pogłębionych konsultacji społecznych każda z gmin wybranych do wsparcia zastosuje co najmniej trzy techniki konsultacji, w tym co najmniej jedną internetową.</w:t>
      </w:r>
    </w:p>
    <w:p w:rsidR="00FE4F15" w:rsidRPr="00A96E5F" w:rsidRDefault="00FE4F15" w:rsidP="00FE4F15">
      <w:pPr>
        <w:pStyle w:val="Akapitzlist"/>
        <w:numPr>
          <w:ilvl w:val="1"/>
          <w:numId w:val="2"/>
        </w:numPr>
        <w:spacing w:after="120"/>
        <w:ind w:left="1276" w:hanging="556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Wsparcie </w:t>
      </w:r>
      <w:r w:rsidRPr="00A96E5F">
        <w:rPr>
          <w:rFonts w:asciiTheme="minorHAnsi" w:hAnsiTheme="minorHAnsi"/>
        </w:rPr>
        <w:t>merytoryczne oznacza pomoc specjalisty ds. konsultacji i urbanisty w przygotow</w:t>
      </w:r>
      <w:r w:rsidRPr="00A96E5F">
        <w:rPr>
          <w:rFonts w:asciiTheme="minorHAnsi" w:eastAsia="Times New Roman" w:hAnsiTheme="minorHAnsi" w:cs="Arial"/>
          <w:lang w:eastAsia="pl-PL"/>
        </w:rPr>
        <w:t xml:space="preserve">aniu i wdrażaniu indywidualnego planu konsultacji, a także szkolenia dla przedstawicieli urzędu gminy zatrudnionych na stanowiskach związanych </w:t>
      </w:r>
      <w:r w:rsidRPr="00A96E5F">
        <w:rPr>
          <w:rFonts w:asciiTheme="minorHAnsi" w:eastAsia="Times New Roman" w:hAnsiTheme="minorHAnsi" w:cs="Arial"/>
          <w:lang w:eastAsia="pl-PL"/>
        </w:rPr>
        <w:br/>
        <w:t>z planowaniem przestrzennym i/lub prowadzeniem procesu konsultacji.</w:t>
      </w:r>
    </w:p>
    <w:p w:rsidR="00FE4F15" w:rsidRPr="00A96E5F" w:rsidRDefault="00FE4F15" w:rsidP="00FE4F15">
      <w:pPr>
        <w:pStyle w:val="Akapitzlist"/>
        <w:numPr>
          <w:ilvl w:val="1"/>
          <w:numId w:val="2"/>
        </w:numPr>
        <w:spacing w:after="120"/>
        <w:ind w:left="1276" w:hanging="556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Indywidualny Plan Konsultacji (IPK) oznacza dokument opracowany we współpracy </w:t>
      </w:r>
      <w:r>
        <w:rPr>
          <w:rFonts w:asciiTheme="minorHAnsi" w:eastAsia="Times New Roman" w:hAnsiTheme="minorHAnsi" w:cs="Arial"/>
          <w:lang w:eastAsia="pl-PL"/>
        </w:rPr>
        <w:t>Partnerstwa</w:t>
      </w:r>
      <w:r w:rsidRPr="00A96E5F">
        <w:rPr>
          <w:rFonts w:asciiTheme="minorHAnsi" w:eastAsia="Times New Roman" w:hAnsiTheme="minorHAnsi" w:cs="Arial"/>
          <w:lang w:eastAsia="pl-PL"/>
        </w:rPr>
        <w:t xml:space="preserve"> z gminą, obejmujący jeden lub dwa etapy pogłębionych konsultacji społecznych. Etap pierwszy obejmuje okres pomiędzy przyjęciem przez gminę uchwały o przystąpieniu do sporządzenia/zmiany planu miejscowego lub studium a przekazaniem sporządzonego projektu dokumentu planistycznego do opinii komisji urbanistyczno-architektonicznej. Etap drugi konsultacji obejmuje okres pomiędzy wyłożeniem planu lub studium do publicznego wglądu a przekazaniem uzgodnionego projektu planu lub studium radzie gminy do uchwalenia. Minimum 75% indywidualnych planów konsultacji będzie dotyczyło pierwszego etapu konsultacji.</w:t>
      </w:r>
    </w:p>
    <w:p w:rsidR="00FE4F15" w:rsidRPr="00A96E5F" w:rsidRDefault="00FE4F15" w:rsidP="00FE4F15">
      <w:pPr>
        <w:pStyle w:val="Akapitzlist"/>
        <w:numPr>
          <w:ilvl w:val="1"/>
          <w:numId w:val="2"/>
        </w:numPr>
        <w:spacing w:after="120"/>
        <w:ind w:left="1276" w:hanging="556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hAnsiTheme="minorHAnsi"/>
        </w:rPr>
        <w:t xml:space="preserve">Obowiązkowym elementem Indywidualnego Planu Konsultacji będzie </w:t>
      </w:r>
      <w:r w:rsidRPr="00A96E5F">
        <w:rPr>
          <w:rFonts w:asciiTheme="minorHAnsi" w:hAnsiTheme="minorHAnsi" w:cs="Arial"/>
        </w:rPr>
        <w:t xml:space="preserve">opis działań </w:t>
      </w:r>
      <w:r w:rsidRPr="00A96E5F">
        <w:rPr>
          <w:rFonts w:asciiTheme="minorHAnsi" w:eastAsia="Times New Roman" w:hAnsiTheme="minorHAnsi" w:cs="Arial"/>
          <w:lang w:eastAsia="pl-PL"/>
        </w:rPr>
        <w:t xml:space="preserve">ukierunkowanych na zapewnienie udziału w konsultacjach grup mieszkańców ze </w:t>
      </w:r>
      <w:r w:rsidRPr="00A96E5F">
        <w:rPr>
          <w:rFonts w:asciiTheme="minorHAnsi" w:eastAsia="Times New Roman" w:hAnsiTheme="minorHAnsi" w:cs="Arial"/>
          <w:lang w:eastAsia="pl-PL"/>
        </w:rPr>
        <w:lastRenderedPageBreak/>
        <w:t>szczególnymi potrzebami (m.in. seniorów, osób z różnymi niepełnosprawnościami, rodzin z małymi dziećmi).</w:t>
      </w:r>
    </w:p>
    <w:p w:rsidR="00FE4F15" w:rsidRPr="00A96E5F" w:rsidRDefault="00FE4F15" w:rsidP="00FE4F15">
      <w:pPr>
        <w:pStyle w:val="Akapitzlist"/>
        <w:numPr>
          <w:ilvl w:val="1"/>
          <w:numId w:val="2"/>
        </w:numPr>
        <w:spacing w:after="120"/>
        <w:ind w:left="1276" w:hanging="556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Rekrutacja gmin ma charakter otwarty oraz jest prowadzona z zachowaniem zasady bezstronności i przejrzystości, wyłącznie w oparciu o niżej wymienione kryteria.</w:t>
      </w:r>
    </w:p>
    <w:p w:rsidR="00FE4F15" w:rsidRPr="00A96E5F" w:rsidRDefault="00FE4F15" w:rsidP="00FE4F15">
      <w:pPr>
        <w:pStyle w:val="Akapitzlist"/>
        <w:numPr>
          <w:ilvl w:val="1"/>
          <w:numId w:val="2"/>
        </w:numPr>
        <w:spacing w:after="120"/>
        <w:ind w:left="1276" w:hanging="556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Z gminami wybranymi do udziału w projekcie zostaną podpisane umowy na wsparcie merytoryczne i opracowanie indywidualnego planu konsultacji. Po opracowaniu IPK, w tym po określeniu przeznaczenia środków na prowadzenie pogłębionych konsultacji, zostaną podpisane umowy grantowe określające wysokość, przeznaczenie, zasady przekazywania i rozliczania grantów oraz zasady monitoringu rezultatu </w:t>
      </w:r>
      <w:r w:rsidRPr="00A96E5F">
        <w:rPr>
          <w:rFonts w:asciiTheme="minorHAnsi" w:eastAsia="Times New Roman" w:hAnsiTheme="minorHAnsi" w:cs="Arial"/>
          <w:i/>
          <w:lang w:eastAsia="pl-PL"/>
        </w:rPr>
        <w:t>Liczba jednostek terytorialnego, które przedłożyły do samorządu zatwierdzenia dokumenty dotyczące planowania przestrzennego wypracowane wspólnie z NGO.</w:t>
      </w:r>
    </w:p>
    <w:p w:rsidR="00FE4F15" w:rsidRPr="00A96E5F" w:rsidRDefault="00FE4F15" w:rsidP="00FE4F15">
      <w:pPr>
        <w:spacing w:after="120"/>
        <w:rPr>
          <w:rFonts w:asciiTheme="minorHAnsi" w:eastAsia="Times New Roman" w:hAnsiTheme="minorHAnsi" w:cs="Arial"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>Podmioty uprawnione do udziału w rekrutacji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 rekrutacji mogą wziąć udział gminy z województwa </w:t>
      </w:r>
      <w:r>
        <w:rPr>
          <w:rFonts w:asciiTheme="minorHAnsi" w:hAnsiTheme="minorHAnsi"/>
        </w:rPr>
        <w:t>dolnośląskiego,</w:t>
      </w:r>
      <w:r w:rsidRPr="00A96E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lubuskiego, łódzkiego, małopolskiego, mazowieckiego, </w:t>
      </w:r>
      <w:r w:rsidRPr="00A96E5F">
        <w:rPr>
          <w:rFonts w:asciiTheme="minorHAnsi" w:hAnsiTheme="minorHAnsi"/>
        </w:rPr>
        <w:t>opolskiego</w:t>
      </w:r>
      <w:r>
        <w:rPr>
          <w:rFonts w:asciiTheme="minorHAnsi" w:hAnsiTheme="minorHAnsi"/>
        </w:rPr>
        <w:t>, podkarpackiego, pomorskiego,</w:t>
      </w:r>
      <w:r w:rsidRPr="00A96E5F">
        <w:rPr>
          <w:rFonts w:asciiTheme="minorHAnsi" w:hAnsiTheme="minorHAnsi"/>
        </w:rPr>
        <w:t xml:space="preserve"> śląskiego, </w:t>
      </w:r>
      <w:r>
        <w:rPr>
          <w:rFonts w:asciiTheme="minorHAnsi" w:hAnsiTheme="minorHAnsi"/>
        </w:rPr>
        <w:t>świętokrzyskiego i wielkopolskiego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W całym procesie rekrutacj</w:t>
      </w:r>
      <w:r>
        <w:rPr>
          <w:rFonts w:asciiTheme="minorHAnsi" w:eastAsia="Times New Roman" w:hAnsiTheme="minorHAnsi" w:cs="Arial"/>
          <w:lang w:eastAsia="pl-PL"/>
        </w:rPr>
        <w:t>i planowany jest wybór 20 gmin.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Warunkiem udziału w rekrutacji jest złożenie przez gminę zainteresowaną udziałem </w:t>
      </w:r>
      <w:r w:rsidRPr="00A96E5F">
        <w:rPr>
          <w:rFonts w:asciiTheme="minorHAnsi" w:eastAsia="Times New Roman" w:hAnsiTheme="minorHAnsi" w:cs="Arial"/>
          <w:lang w:eastAsia="pl-PL"/>
        </w:rPr>
        <w:br/>
        <w:t>w projekcie formularza zgłoszeniowego wraz z załącznikami.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 rekrutacji mogą wziąć udział gminy korzystające z podobnego wsparcia w ramach projektu wybranego w pierwszym konkursie na wzmocnienie procesu konsultacji społecznych w obszarze planowania i zagospodarowania przestrzennego </w:t>
      </w:r>
      <w:r w:rsidRPr="00A96E5F">
        <w:rPr>
          <w:rFonts w:asciiTheme="minorHAnsi" w:eastAsia="Times New Roman" w:hAnsiTheme="minorHAnsi" w:cs="Arial"/>
          <w:lang w:eastAsia="pl-PL"/>
        </w:rPr>
        <w:br/>
        <w:t xml:space="preserve">(nr POWR.02.19.00-IZ.00-00-004/15), jednak łącznie w projekcie weźmie udział nie więcej niż 5 takich gmin. W takim przypadku gmina będzie zobowiązana wykorzystać </w:t>
      </w:r>
      <w:r w:rsidRPr="00A96E5F">
        <w:rPr>
          <w:rFonts w:asciiTheme="minorHAnsi" w:eastAsia="Times New Roman" w:hAnsiTheme="minorHAnsi" w:cs="Arial"/>
          <w:lang w:eastAsia="pl-PL"/>
        </w:rPr>
        <w:br/>
        <w:t>w planowanych do wsparcia konsultacjach zasoby nabyte przez nią ze środków pierwszego grantu – informacje na ten temat znajdą się w IPK.</w:t>
      </w:r>
    </w:p>
    <w:p w:rsidR="00FE4F15" w:rsidRPr="00A96E5F" w:rsidRDefault="00FE4F15" w:rsidP="00FE4F15">
      <w:pPr>
        <w:spacing w:after="120"/>
        <w:rPr>
          <w:rFonts w:asciiTheme="minorHAnsi" w:eastAsia="Times New Roman" w:hAnsiTheme="minorHAnsi" w:cs="Arial"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>Procedura rekrutacji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Gmina zainteresowana udziałem w projekcie wypełnia i składa formularz zgłoszeniowy wraz z załącznikami.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Obowiązkowymi załącznikami do wniosku są dokumenty (oryginały lub kopie) poświadczające spełnienie kryteriów dostępu b – f wymienionych niżej.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Wnioski z załącznikami należy złożyć w:</w:t>
      </w:r>
    </w:p>
    <w:p w:rsidR="00FE4F15" w:rsidRPr="00A96E5F" w:rsidRDefault="00FE4F15" w:rsidP="00FE4F15">
      <w:pPr>
        <w:pStyle w:val="Akapitzlist"/>
        <w:numPr>
          <w:ilvl w:val="2"/>
          <w:numId w:val="11"/>
        </w:numPr>
        <w:spacing w:after="120"/>
        <w:ind w:left="1560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gminy z woj. opolskiego – Opolskie Centrum Wsparcia Inicjatyw Pozarządowych OCWIP, ul. Damrota 4, m. 35-36, 45-064 Opole,</w:t>
      </w:r>
    </w:p>
    <w:p w:rsidR="00FE4F15" w:rsidRDefault="00FE4F15" w:rsidP="00FE4F15">
      <w:pPr>
        <w:pStyle w:val="Akapitzlist"/>
        <w:numPr>
          <w:ilvl w:val="2"/>
          <w:numId w:val="11"/>
        </w:numPr>
        <w:spacing w:after="120"/>
        <w:ind w:left="1560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gminy z woj. śląskiego </w:t>
      </w:r>
      <w:r>
        <w:rPr>
          <w:rFonts w:asciiTheme="minorHAnsi" w:eastAsia="Times New Roman" w:hAnsiTheme="minorHAnsi" w:cs="Arial"/>
          <w:lang w:eastAsia="pl-PL"/>
        </w:rPr>
        <w:t>–</w:t>
      </w:r>
      <w:r w:rsidRPr="00A96E5F">
        <w:rPr>
          <w:rFonts w:asciiTheme="minorHAnsi" w:eastAsia="Times New Roman" w:hAnsiTheme="minorHAnsi" w:cs="Arial"/>
          <w:lang w:eastAsia="pl-PL"/>
        </w:rPr>
        <w:t xml:space="preserve"> Centrum Rozwoju Inicjatyw Społecznych CRIS, ul. </w:t>
      </w:r>
      <w:r>
        <w:rPr>
          <w:rFonts w:asciiTheme="minorHAnsi" w:eastAsia="Times New Roman" w:hAnsiTheme="minorHAnsi" w:cs="Arial"/>
          <w:lang w:eastAsia="pl-PL"/>
        </w:rPr>
        <w:t>Rudzka 13C</w:t>
      </w:r>
      <w:r w:rsidRPr="00A96E5F">
        <w:rPr>
          <w:rFonts w:asciiTheme="minorHAnsi" w:eastAsia="Times New Roman" w:hAnsiTheme="minorHAnsi" w:cs="Arial"/>
          <w:lang w:eastAsia="pl-PL"/>
        </w:rPr>
        <w:t>, 44-200 Rybnik</w:t>
      </w:r>
      <w:r>
        <w:rPr>
          <w:rFonts w:asciiTheme="minorHAnsi" w:eastAsia="Times New Roman" w:hAnsiTheme="minorHAnsi" w:cs="Arial"/>
          <w:lang w:eastAsia="pl-PL"/>
        </w:rPr>
        <w:t>,</w:t>
      </w:r>
    </w:p>
    <w:p w:rsidR="00FE4F15" w:rsidRPr="00A96E5F" w:rsidRDefault="00FE4F15" w:rsidP="00FE4F15">
      <w:pPr>
        <w:pStyle w:val="Akapitzlist"/>
        <w:numPr>
          <w:ilvl w:val="2"/>
          <w:numId w:val="11"/>
        </w:numPr>
        <w:spacing w:after="120"/>
        <w:ind w:left="1560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gminy z pozostałych województw – u jednego z powyższych stowarzyszeń</w:t>
      </w:r>
    </w:p>
    <w:p w:rsidR="00FE4F15" w:rsidRPr="00A96E5F" w:rsidRDefault="00FE4F15" w:rsidP="00FE4F15">
      <w:pPr>
        <w:pStyle w:val="Akapitzlist"/>
        <w:spacing w:after="120"/>
        <w:ind w:left="127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lastRenderedPageBreak/>
        <w:t>osobiście lub pocztą. Możliwe jest również przekazanie wniosku z załącznikami konsultantowi ds. procesów konsultacyjnych</w:t>
      </w:r>
      <w:r>
        <w:rPr>
          <w:rFonts w:asciiTheme="minorHAnsi" w:eastAsia="Times New Roman" w:hAnsiTheme="minorHAnsi" w:cs="Arial"/>
          <w:lang w:eastAsia="pl-PL"/>
        </w:rPr>
        <w:t>/opiekunowi gmin</w:t>
      </w:r>
      <w:r w:rsidRPr="00A96E5F">
        <w:rPr>
          <w:rFonts w:asciiTheme="minorHAnsi" w:eastAsia="Times New Roman" w:hAnsiTheme="minorHAnsi" w:cs="Arial"/>
          <w:lang w:eastAsia="pl-PL"/>
        </w:rPr>
        <w:t xml:space="preserve"> zatrudnionemu przez CRIS/OCWIP.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Nabór wniosków rozpoczyna się </w:t>
      </w:r>
      <w:r>
        <w:rPr>
          <w:rFonts w:asciiTheme="minorHAnsi" w:eastAsia="Times New Roman" w:hAnsiTheme="minorHAnsi" w:cs="Arial"/>
          <w:lang w:eastAsia="pl-PL"/>
        </w:rPr>
        <w:t>w I kwartale</w:t>
      </w:r>
      <w:r w:rsidRPr="00A96E5F">
        <w:rPr>
          <w:rFonts w:asciiTheme="minorHAnsi" w:eastAsia="Times New Roman" w:hAnsiTheme="minorHAnsi" w:cs="Arial"/>
          <w:lang w:eastAsia="pl-PL"/>
        </w:rPr>
        <w:t xml:space="preserve"> 2019 r. i trwa </w:t>
      </w:r>
      <w:r>
        <w:rPr>
          <w:rFonts w:asciiTheme="minorHAnsi" w:eastAsia="Times New Roman" w:hAnsiTheme="minorHAnsi" w:cs="Arial"/>
          <w:lang w:eastAsia="pl-PL"/>
        </w:rPr>
        <w:t xml:space="preserve">co najmniej </w:t>
      </w:r>
      <w:r w:rsidRPr="00A96E5F">
        <w:rPr>
          <w:rFonts w:asciiTheme="minorHAnsi" w:eastAsia="Times New Roman" w:hAnsiTheme="minorHAnsi" w:cs="Arial"/>
          <w:lang w:eastAsia="pl-PL"/>
        </w:rPr>
        <w:t xml:space="preserve">do </w:t>
      </w:r>
      <w:r>
        <w:rPr>
          <w:rFonts w:asciiTheme="minorHAnsi" w:eastAsia="Times New Roman" w:hAnsiTheme="minorHAnsi" w:cs="Arial"/>
          <w:lang w:eastAsia="pl-PL"/>
        </w:rPr>
        <w:t>30</w:t>
      </w:r>
      <w:r w:rsidRPr="00A96E5F">
        <w:rPr>
          <w:rFonts w:asciiTheme="minorHAnsi" w:eastAsia="Times New Roman" w:hAnsiTheme="minorHAnsi" w:cs="Arial"/>
          <w:lang w:eastAsia="pl-PL"/>
        </w:rPr>
        <w:t>.06.20</w:t>
      </w:r>
      <w:r>
        <w:rPr>
          <w:rFonts w:asciiTheme="minorHAnsi" w:eastAsia="Times New Roman" w:hAnsiTheme="minorHAnsi" w:cs="Arial"/>
          <w:lang w:eastAsia="pl-PL"/>
        </w:rPr>
        <w:t>21</w:t>
      </w:r>
      <w:r w:rsidRPr="00A96E5F">
        <w:rPr>
          <w:rFonts w:asciiTheme="minorHAnsi" w:eastAsia="Times New Roman" w:hAnsiTheme="minorHAnsi" w:cs="Arial"/>
          <w:lang w:eastAsia="pl-PL"/>
        </w:rPr>
        <w:t xml:space="preserve"> r. lub do momentu wyczerpania środków przeznaczonych na granty dla gmin.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hAnsiTheme="minorHAnsi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Zgłoszenia gmin są rozpatrywane przez komisję konkursową. </w:t>
      </w:r>
      <w:r w:rsidRPr="00A96E5F">
        <w:rPr>
          <w:rFonts w:asciiTheme="minorHAnsi" w:hAnsiTheme="minorHAnsi"/>
        </w:rPr>
        <w:t xml:space="preserve">W jej skład wejdą przedstawiciele członków Partnerstwa realizującego </w:t>
      </w:r>
      <w:r>
        <w:rPr>
          <w:rFonts w:asciiTheme="minorHAnsi" w:hAnsiTheme="minorHAnsi"/>
        </w:rPr>
        <w:t xml:space="preserve">projekt, w tym: </w:t>
      </w:r>
      <w:r w:rsidRPr="00A96E5F">
        <w:rPr>
          <w:rFonts w:asciiTheme="minorHAnsi" w:hAnsiTheme="minorHAnsi"/>
        </w:rPr>
        <w:t>konsultanci ds. procesów konsultacyjnych/opiekunowie gmin, urbaniści, koordynator projektu.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Pierwsze posiedzenie komisji konkursowej odbędzie się nie później niż 31.03.2019 r. Kolejne posiedzenia komisji będą odbywać się cyklicznie raz na miesiąc do momentu wyczerpania środków przeznaczonych na granty dla gmin.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Komisja konkursowa może zebrać się również w sytuacji, jeśli pojawią się środki możliwe do przeznaczenia na granty dla gmin (np. z oszczędności).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W ramach oceny komisja konkursowa weryfikuje, czy wniosek spełnia kryteria formalne i kryteria merytoryczne.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Wniosek, który nie spełnia któregokolwiek z kryteriów formalnych nie podlega ocenie pod kątem spełnienia kryteriów merytorycznych. 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Ocena merytoryczna komisji konkursowej ma charakter punktowy. Na podstawie przyznanych punktów tworzona jest po każdym posiedzeniu komisji konkursowej osobna dla każdego województwa lista rankingowa z wynikami rekrutacji.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Listy rankingowe gmin przyjętych do projektu są zamieszczane na stronie CRIS </w:t>
      </w:r>
      <w:r w:rsidRPr="00A96E5F">
        <w:rPr>
          <w:rFonts w:asciiTheme="minorHAnsi" w:eastAsia="Times New Roman" w:hAnsiTheme="minorHAnsi" w:cs="Arial"/>
          <w:lang w:eastAsia="pl-PL"/>
        </w:rPr>
        <w:br/>
        <w:t>(w przypadki gmin z woj. śląskiego</w:t>
      </w:r>
      <w:r>
        <w:rPr>
          <w:rFonts w:asciiTheme="minorHAnsi" w:eastAsia="Times New Roman" w:hAnsiTheme="minorHAnsi" w:cs="Arial"/>
          <w:lang w:eastAsia="pl-PL"/>
        </w:rPr>
        <w:t xml:space="preserve"> i pozostałych zrekrutowanych przez CRIS</w:t>
      </w:r>
      <w:r w:rsidRPr="00A96E5F">
        <w:rPr>
          <w:rFonts w:asciiTheme="minorHAnsi" w:eastAsia="Times New Roman" w:hAnsiTheme="minorHAnsi" w:cs="Arial"/>
          <w:lang w:eastAsia="pl-PL"/>
        </w:rPr>
        <w:t xml:space="preserve">) oraz Opolskiego Centrum Rozwoju Wspierania Inicjatyw Pozarządowych </w:t>
      </w:r>
      <w:r>
        <w:rPr>
          <w:rFonts w:asciiTheme="minorHAnsi" w:eastAsia="Times New Roman" w:hAnsiTheme="minorHAnsi" w:cs="Arial"/>
          <w:lang w:eastAsia="pl-PL"/>
        </w:rPr>
        <w:t>OCWIP (w </w:t>
      </w:r>
      <w:r w:rsidRPr="00A96E5F">
        <w:rPr>
          <w:rFonts w:asciiTheme="minorHAnsi" w:eastAsia="Times New Roman" w:hAnsiTheme="minorHAnsi" w:cs="Arial"/>
          <w:lang w:eastAsia="pl-PL"/>
        </w:rPr>
        <w:t>przypadku gmin z woj. opolskiego</w:t>
      </w:r>
      <w:r w:rsidRPr="00FA32C9">
        <w:rPr>
          <w:rFonts w:asciiTheme="minorHAnsi" w:eastAsia="Times New Roman" w:hAnsiTheme="minorHAnsi" w:cs="Arial"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>i pozostałych zrekrutowanych przez OCWIP</w:t>
      </w:r>
      <w:r w:rsidRPr="00A96E5F">
        <w:rPr>
          <w:rFonts w:asciiTheme="minorHAnsi" w:eastAsia="Times New Roman" w:hAnsiTheme="minorHAnsi" w:cs="Arial"/>
          <w:lang w:eastAsia="pl-PL"/>
        </w:rPr>
        <w:t>). Każda gmina uczestnicząca w rekrutacji otrzymuje również informację o wynikach pocztą elektroniczną na adres wskazany w formularzu zgłoszeniowym.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Od decyzji komisji konkursowej przysługuje odwołanie. Należy złożyć je w formie pisemnej wraz z uzasadnieniem w terminie do 5 dni roboczych od dnia opublikowania wyników. Odwołanie podlega rozpatrzeniu przez komisję konkursową w terminie 7 dni roboczych. Wynik odwołania jest niezwłocznie przekazany gminie. Od negatywnej decyzji nie przysługują gminie dalsze środki odwoławcze. 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276" w:hanging="556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W razie rezygnacji zakwalifikowanej do projektu gminy, komisja konkursowa ma prawo zaprosić do udziału inną gminę z tej samej listy rankingowej.</w:t>
      </w:r>
    </w:p>
    <w:p w:rsidR="00FE4F15" w:rsidRPr="00A96E5F" w:rsidRDefault="00FE4F15" w:rsidP="00FE4F15">
      <w:pPr>
        <w:spacing w:after="120"/>
        <w:rPr>
          <w:rFonts w:asciiTheme="minorHAnsi" w:eastAsia="Times New Roman" w:hAnsiTheme="minorHAnsi" w:cs="Arial"/>
          <w:b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  <w:b/>
          <w:lang w:eastAsia="pl-PL"/>
        </w:rPr>
        <w:t>Kryteri</w:t>
      </w:r>
      <w:r w:rsidRPr="00A96E5F">
        <w:rPr>
          <w:rFonts w:asciiTheme="minorHAnsi" w:eastAsia="Times New Roman" w:hAnsiTheme="minorHAnsi" w:cs="Arial"/>
          <w:b/>
          <w:iCs/>
          <w:lang w:eastAsia="pl-PL"/>
        </w:rPr>
        <w:t xml:space="preserve">a </w:t>
      </w:r>
      <w:r w:rsidRPr="00A96E5F">
        <w:rPr>
          <w:rFonts w:asciiTheme="minorHAnsi" w:eastAsia="Times New Roman" w:hAnsiTheme="minorHAnsi" w:cs="Arial"/>
          <w:b/>
          <w:lang w:eastAsia="pl-PL"/>
        </w:rPr>
        <w:t>wybor</w:t>
      </w:r>
      <w:r w:rsidRPr="00A96E5F">
        <w:rPr>
          <w:rFonts w:asciiTheme="minorHAnsi" w:eastAsia="Times New Roman" w:hAnsiTheme="minorHAnsi" w:cs="Arial"/>
          <w:b/>
          <w:iCs/>
          <w:lang w:eastAsia="pl-PL"/>
        </w:rPr>
        <w:t xml:space="preserve">u </w:t>
      </w:r>
      <w:r w:rsidRPr="00A96E5F">
        <w:rPr>
          <w:rFonts w:asciiTheme="minorHAnsi" w:hAnsiTheme="minorHAnsi"/>
          <w:b/>
          <w:lang w:eastAsia="pl-PL"/>
        </w:rPr>
        <w:t>grantobiorcó</w:t>
      </w:r>
      <w:r w:rsidRPr="00A96E5F">
        <w:rPr>
          <w:rFonts w:asciiTheme="minorHAnsi" w:eastAsia="Times New Roman" w:hAnsiTheme="minorHAnsi" w:cs="Arial"/>
          <w:b/>
          <w:lang w:eastAsia="pl-PL"/>
        </w:rPr>
        <w:t>w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iCs/>
          <w:lang w:eastAsia="pl-PL"/>
        </w:rPr>
        <w:t>Kryteria dostępu (ocena „gmina spełnia – nie spełnia”):</w:t>
      </w:r>
    </w:p>
    <w:p w:rsidR="00FE4F15" w:rsidRPr="00A96E5F" w:rsidRDefault="00FE4F15" w:rsidP="00FE4F15">
      <w:pPr>
        <w:numPr>
          <w:ilvl w:val="2"/>
          <w:numId w:val="3"/>
        </w:numPr>
        <w:spacing w:after="120"/>
        <w:ind w:left="1418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lastRenderedPageBreak/>
        <w:t xml:space="preserve">gmina z województwa </w:t>
      </w:r>
      <w:r>
        <w:rPr>
          <w:rFonts w:asciiTheme="minorHAnsi" w:hAnsiTheme="minorHAnsi"/>
        </w:rPr>
        <w:t>dolnośląskiego,</w:t>
      </w:r>
      <w:r w:rsidRPr="00A96E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lubuskiego, łódzkiego, małopolskiego, mazowieckiego, </w:t>
      </w:r>
      <w:r w:rsidRPr="00A96E5F">
        <w:rPr>
          <w:rFonts w:asciiTheme="minorHAnsi" w:hAnsiTheme="minorHAnsi"/>
        </w:rPr>
        <w:t>opolskiego</w:t>
      </w:r>
      <w:r>
        <w:rPr>
          <w:rFonts w:asciiTheme="minorHAnsi" w:hAnsiTheme="minorHAnsi"/>
        </w:rPr>
        <w:t>, podkarpackiego, pomorskiego,</w:t>
      </w:r>
      <w:r w:rsidRPr="00A96E5F">
        <w:rPr>
          <w:rFonts w:asciiTheme="minorHAnsi" w:hAnsiTheme="minorHAnsi"/>
        </w:rPr>
        <w:t xml:space="preserve"> śląskiego, </w:t>
      </w:r>
      <w:r>
        <w:rPr>
          <w:rFonts w:asciiTheme="minorHAnsi" w:hAnsiTheme="minorHAnsi"/>
        </w:rPr>
        <w:t>świętokrzyskiego i wielkopolskiego</w:t>
      </w:r>
      <w:r w:rsidRPr="00A96E5F">
        <w:rPr>
          <w:rFonts w:asciiTheme="minorHAnsi" w:eastAsia="Times New Roman" w:hAnsiTheme="minorHAnsi" w:cs="Arial"/>
          <w:lang w:eastAsia="pl-PL"/>
        </w:rPr>
        <w:t>;</w:t>
      </w:r>
    </w:p>
    <w:p w:rsidR="00FE4F15" w:rsidRPr="00A96E5F" w:rsidRDefault="00FE4F15" w:rsidP="00FE4F15">
      <w:pPr>
        <w:numPr>
          <w:ilvl w:val="2"/>
          <w:numId w:val="3"/>
        </w:numPr>
        <w:spacing w:after="120"/>
        <w:ind w:left="1418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hAnsiTheme="minorHAnsi"/>
        </w:rPr>
        <w:t>posiadanie uchwały rady gminy o przystąpieniu do sporządzania MPZP lub SUiKZP (lub ich zmian) lub podpisane zobowiązanie, że taka uchwała zostanie przyjęta w ciągu 3 miesięcy od czasu złożenia przez władze gminy deklaracji uczestnictwa w projekcie;</w:t>
      </w:r>
    </w:p>
    <w:p w:rsidR="00FE4F15" w:rsidRPr="00A96E5F" w:rsidRDefault="00FE4F15" w:rsidP="00FE4F15">
      <w:pPr>
        <w:numPr>
          <w:ilvl w:val="2"/>
          <w:numId w:val="3"/>
        </w:numPr>
        <w:spacing w:after="120"/>
        <w:ind w:left="1418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hAnsiTheme="minorHAnsi"/>
        </w:rPr>
        <w:t xml:space="preserve">deklaracja przeprowadzenia pogłębionych konsultacji planowania przestrzennego przy wsparciu grantu, którego cele, sposób wykorzystania, wysokość i strukturę kosztów wypracuje gmina w ramach Indywidualnego Planu Konsultacji przy wsparciu </w:t>
      </w:r>
      <w:r>
        <w:rPr>
          <w:rFonts w:asciiTheme="minorHAnsi" w:hAnsiTheme="minorHAnsi"/>
        </w:rPr>
        <w:t>Partnerstwa</w:t>
      </w:r>
      <w:r w:rsidRPr="00A96E5F">
        <w:rPr>
          <w:rFonts w:asciiTheme="minorHAnsi" w:hAnsiTheme="minorHAnsi"/>
        </w:rPr>
        <w:t>;</w:t>
      </w:r>
    </w:p>
    <w:p w:rsidR="00FE4F15" w:rsidRPr="00A96E5F" w:rsidRDefault="00FE4F15" w:rsidP="00FE4F15">
      <w:pPr>
        <w:numPr>
          <w:ilvl w:val="2"/>
          <w:numId w:val="3"/>
        </w:numPr>
        <w:spacing w:after="120"/>
        <w:ind w:left="1418" w:hanging="284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hAnsiTheme="minorHAnsi"/>
        </w:rPr>
        <w:t xml:space="preserve">deklaracja oddelegowania do udziału w projekcie minimum dwóch pracowników, których zakres obowiązków jest </w:t>
      </w:r>
      <w:r w:rsidRPr="00A96E5F">
        <w:rPr>
          <w:rFonts w:asciiTheme="minorHAnsi" w:eastAsia="Times New Roman" w:hAnsiTheme="minorHAnsi" w:cs="Arial"/>
          <w:lang w:eastAsia="pl-PL"/>
        </w:rPr>
        <w:t>związany z planowaniem przestrzennym i/lub prowadzeniem procesu konsultacji;</w:t>
      </w:r>
    </w:p>
    <w:p w:rsidR="00FE4F15" w:rsidRPr="00A96E5F" w:rsidRDefault="00FE4F15" w:rsidP="00FE4F15">
      <w:pPr>
        <w:numPr>
          <w:ilvl w:val="2"/>
          <w:numId w:val="3"/>
        </w:numPr>
        <w:spacing w:after="120"/>
        <w:ind w:left="1418" w:hanging="284"/>
        <w:contextualSpacing/>
        <w:jc w:val="both"/>
        <w:rPr>
          <w:rFonts w:asciiTheme="minorHAnsi" w:hAnsiTheme="minorHAnsi"/>
        </w:rPr>
      </w:pPr>
      <w:r w:rsidRPr="00A96E5F">
        <w:rPr>
          <w:rFonts w:asciiTheme="minorHAnsi" w:hAnsiTheme="minorHAnsi"/>
        </w:rPr>
        <w:t xml:space="preserve">zgoda gminy na poddanie się monitoringowi wskaźnika rezultatu: </w:t>
      </w:r>
      <w:r w:rsidRPr="00A96E5F">
        <w:rPr>
          <w:rFonts w:asciiTheme="minorHAnsi" w:hAnsiTheme="minorHAnsi"/>
          <w:i/>
        </w:rPr>
        <w:t xml:space="preserve">Liczba JST, które przedłożyły do zatwierdzenia dokumenty dotyczące planowania przestrzennego wypracowane wspólnie z NGO </w:t>
      </w:r>
      <w:r w:rsidRPr="00A96E5F">
        <w:rPr>
          <w:rFonts w:asciiTheme="minorHAnsi" w:hAnsiTheme="minorHAnsi"/>
        </w:rPr>
        <w:t>do końca 2023 r.;</w:t>
      </w:r>
    </w:p>
    <w:p w:rsidR="00FE4F15" w:rsidRPr="00A96E5F" w:rsidRDefault="00FE4F15" w:rsidP="00FE4F15">
      <w:pPr>
        <w:numPr>
          <w:ilvl w:val="2"/>
          <w:numId w:val="3"/>
        </w:numPr>
        <w:spacing w:after="120"/>
        <w:ind w:left="1418" w:hanging="284"/>
        <w:contextualSpacing/>
        <w:jc w:val="both"/>
        <w:rPr>
          <w:rFonts w:asciiTheme="minorHAnsi" w:hAnsiTheme="minorHAnsi"/>
        </w:rPr>
      </w:pPr>
      <w:r w:rsidRPr="00A96E5F">
        <w:rPr>
          <w:rFonts w:asciiTheme="minorHAnsi" w:hAnsiTheme="minorHAnsi"/>
        </w:rPr>
        <w:t>pisemne deklaracja nie ubiegania się o inny grant w ramach tego samego konkursu (nr POWR.02.19.00-IZ.00-00-003/18);</w:t>
      </w:r>
    </w:p>
    <w:p w:rsidR="00FE4F15" w:rsidRPr="00A96E5F" w:rsidRDefault="00FE4F15" w:rsidP="00FE4F15">
      <w:pPr>
        <w:spacing w:after="120"/>
        <w:ind w:left="1134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>Aby starać się o grant gmina musi spełnić wszystkie powyższe kryteria.</w:t>
      </w:r>
    </w:p>
    <w:p w:rsidR="00FE4F15" w:rsidRPr="00A96E5F" w:rsidRDefault="00FE4F15" w:rsidP="00FE4F15">
      <w:pPr>
        <w:pStyle w:val="Akapitzlist"/>
        <w:numPr>
          <w:ilvl w:val="1"/>
          <w:numId w:val="4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iCs/>
          <w:lang w:eastAsia="pl-PL"/>
        </w:rPr>
        <w:t>Kryteria merytoryczne: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150"/>
        <w:gridCol w:w="3795"/>
        <w:gridCol w:w="1701"/>
      </w:tblGrid>
      <w:tr w:rsidR="00FE4F15" w:rsidRPr="00A96E5F" w:rsidTr="00067BD3">
        <w:trPr>
          <w:trHeight w:val="438"/>
        </w:trPr>
        <w:tc>
          <w:tcPr>
            <w:tcW w:w="558" w:type="dxa"/>
            <w:shd w:val="clear" w:color="auto" w:fill="BFBFBF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Lp.</w:t>
            </w:r>
          </w:p>
        </w:tc>
        <w:tc>
          <w:tcPr>
            <w:tcW w:w="3150" w:type="dxa"/>
            <w:shd w:val="clear" w:color="auto" w:fill="BFBFBF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Kryterium merytoryczne</w:t>
            </w:r>
          </w:p>
        </w:tc>
        <w:tc>
          <w:tcPr>
            <w:tcW w:w="3795" w:type="dxa"/>
            <w:shd w:val="clear" w:color="auto" w:fill="BFBFBF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Sposób weryfikacji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Liczba punktów</w:t>
            </w:r>
          </w:p>
        </w:tc>
      </w:tr>
      <w:tr w:rsidR="00FE4F15" w:rsidRPr="00A96E5F" w:rsidTr="00067BD3">
        <w:trPr>
          <w:trHeight w:val="618"/>
        </w:trPr>
        <w:tc>
          <w:tcPr>
            <w:tcW w:w="558" w:type="dxa"/>
            <w:vMerge w:val="restart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1</w:t>
            </w:r>
          </w:p>
        </w:tc>
        <w:tc>
          <w:tcPr>
            <w:tcW w:w="3150" w:type="dxa"/>
            <w:vMerge w:val="restart"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stopień pokrycia obszaru gminy dokumentami planistycznymi</w:t>
            </w: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poniżej 40% powierzchni gminy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4 pkt</w:t>
            </w:r>
          </w:p>
        </w:tc>
      </w:tr>
      <w:tr w:rsidR="00FE4F15" w:rsidRPr="00A96E5F" w:rsidTr="00067BD3">
        <w:trPr>
          <w:trHeight w:val="618"/>
        </w:trPr>
        <w:tc>
          <w:tcPr>
            <w:tcW w:w="558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40-60% powierzchni gminy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3 pkt</w:t>
            </w:r>
          </w:p>
        </w:tc>
      </w:tr>
      <w:tr w:rsidR="00FE4F15" w:rsidRPr="00A96E5F" w:rsidTr="00067BD3">
        <w:trPr>
          <w:trHeight w:val="618"/>
        </w:trPr>
        <w:tc>
          <w:tcPr>
            <w:tcW w:w="558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61-80% powierzchni gminy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2 pkt</w:t>
            </w:r>
          </w:p>
        </w:tc>
      </w:tr>
      <w:tr w:rsidR="00FE4F15" w:rsidRPr="00A96E5F" w:rsidTr="00067BD3">
        <w:trPr>
          <w:trHeight w:val="618"/>
        </w:trPr>
        <w:tc>
          <w:tcPr>
            <w:tcW w:w="558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powyżej 80% powierzchni gminy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1 pkt</w:t>
            </w:r>
          </w:p>
        </w:tc>
      </w:tr>
      <w:tr w:rsidR="00FE4F15" w:rsidRPr="00A96E5F" w:rsidTr="00067BD3">
        <w:tc>
          <w:tcPr>
            <w:tcW w:w="558" w:type="dxa"/>
            <w:vMerge w:val="restart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2</w:t>
            </w:r>
          </w:p>
        </w:tc>
        <w:tc>
          <w:tcPr>
            <w:tcW w:w="3150" w:type="dxa"/>
            <w:vMerge w:val="restart"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udział  projektów planów sporządzanych powyżej 3 lat</w:t>
            </w: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większy niż średnia dla województwa</w:t>
            </w:r>
            <w:r w:rsidRPr="00A96E5F">
              <w:rPr>
                <w:rStyle w:val="Odwoanieprzypisudolnego"/>
                <w:rFonts w:asciiTheme="minorHAnsi" w:eastAsia="Times New Roman" w:hAnsiTheme="minorHAnsi" w:cs="Arial"/>
                <w:lang w:eastAsia="pl-PL"/>
              </w:rPr>
              <w:t>1</w:t>
            </w:r>
            <w:r w:rsidRPr="00A96E5F">
              <w:rPr>
                <w:rFonts w:asciiTheme="minorHAnsi" w:eastAsia="Times New Roman" w:hAnsiTheme="minorHAnsi" w:cs="Arial"/>
                <w:lang w:eastAsia="pl-PL"/>
              </w:rPr>
              <w:t>, w którym mieści się gmina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4 pkt</w:t>
            </w:r>
          </w:p>
        </w:tc>
      </w:tr>
      <w:tr w:rsidR="00FE4F15" w:rsidRPr="00A96E5F" w:rsidTr="00067BD3">
        <w:tc>
          <w:tcPr>
            <w:tcW w:w="558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mniejszy niż średnia dla województwa</w:t>
            </w:r>
            <w:r w:rsidRPr="00A96E5F">
              <w:rPr>
                <w:rStyle w:val="Odwoanieprzypisudolnego"/>
                <w:rFonts w:asciiTheme="minorHAnsi" w:eastAsia="Times New Roman" w:hAnsiTheme="minorHAnsi" w:cs="Arial"/>
                <w:lang w:eastAsia="pl-PL"/>
              </w:rPr>
              <w:t>1</w:t>
            </w:r>
            <w:r w:rsidRPr="00A96E5F">
              <w:rPr>
                <w:rFonts w:asciiTheme="minorHAnsi" w:eastAsia="Times New Roman" w:hAnsiTheme="minorHAnsi" w:cs="Arial"/>
                <w:lang w:eastAsia="pl-PL"/>
              </w:rPr>
              <w:t>, w którym mieści się gmina, ale więcej niż 15% planów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2 pkt</w:t>
            </w:r>
          </w:p>
        </w:tc>
      </w:tr>
      <w:tr w:rsidR="00FE4F15" w:rsidRPr="00A96E5F" w:rsidTr="00067BD3">
        <w:tc>
          <w:tcPr>
            <w:tcW w:w="558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mniejszy niż średnia dla województwa</w:t>
            </w:r>
            <w:r w:rsidRPr="00A96E5F">
              <w:rPr>
                <w:rStyle w:val="Odwoanieprzypisudolnego"/>
                <w:rFonts w:asciiTheme="minorHAnsi" w:eastAsia="Times New Roman" w:hAnsiTheme="minorHAnsi" w:cs="Arial"/>
                <w:lang w:eastAsia="pl-PL"/>
              </w:rPr>
              <w:t>1</w:t>
            </w:r>
            <w:r w:rsidRPr="00A96E5F">
              <w:rPr>
                <w:rFonts w:asciiTheme="minorHAnsi" w:eastAsia="Times New Roman" w:hAnsiTheme="minorHAnsi" w:cs="Arial"/>
                <w:lang w:eastAsia="pl-PL"/>
              </w:rPr>
              <w:t>, w którym mieści się gmina, i mniej niż 15% planów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1 pkt</w:t>
            </w:r>
          </w:p>
        </w:tc>
      </w:tr>
      <w:tr w:rsidR="00FE4F15" w:rsidRPr="00A96E5F" w:rsidTr="00067BD3">
        <w:trPr>
          <w:trHeight w:val="767"/>
        </w:trPr>
        <w:tc>
          <w:tcPr>
            <w:tcW w:w="558" w:type="dxa"/>
            <w:vMerge w:val="restart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3</w:t>
            </w:r>
          </w:p>
        </w:tc>
        <w:tc>
          <w:tcPr>
            <w:tcW w:w="3150" w:type="dxa"/>
            <w:vMerge w:val="restart"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 xml:space="preserve">obecność na liście miast średnich zgodnie ze Strategią na </w:t>
            </w:r>
            <w:r w:rsidRPr="00A96E5F">
              <w:rPr>
                <w:rFonts w:asciiTheme="minorHAnsi" w:eastAsia="Times New Roman" w:hAnsiTheme="minorHAnsi" w:cs="Arial"/>
                <w:lang w:eastAsia="pl-PL"/>
              </w:rPr>
              <w:lastRenderedPageBreak/>
              <w:t>Rzecz Odpowiedzialnego Rozwoju – Pakiet dla miast średnich</w:t>
            </w: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lastRenderedPageBreak/>
              <w:t>gmina obecna na liście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4 pkt</w:t>
            </w:r>
          </w:p>
        </w:tc>
      </w:tr>
      <w:tr w:rsidR="00FE4F15" w:rsidRPr="00A96E5F" w:rsidTr="00067BD3">
        <w:trPr>
          <w:trHeight w:val="767"/>
        </w:trPr>
        <w:tc>
          <w:tcPr>
            <w:tcW w:w="558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gmina nieobecna na liście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1 pkt</w:t>
            </w:r>
          </w:p>
        </w:tc>
      </w:tr>
      <w:tr w:rsidR="00FE4F15" w:rsidRPr="00A96E5F" w:rsidTr="00067BD3">
        <w:tc>
          <w:tcPr>
            <w:tcW w:w="558" w:type="dxa"/>
            <w:vMerge w:val="restart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lastRenderedPageBreak/>
              <w:t>4</w:t>
            </w:r>
          </w:p>
        </w:tc>
        <w:tc>
          <w:tcPr>
            <w:tcW w:w="3150" w:type="dxa"/>
            <w:vMerge w:val="restart"/>
            <w:vAlign w:val="center"/>
          </w:tcPr>
          <w:p w:rsidR="00FE4F15" w:rsidRPr="00A96E5F" w:rsidRDefault="00FE4F15" w:rsidP="00067BD3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liczba pracowników oddelegowanych do projektu</w:t>
            </w: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4 i więcej pracowników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4 pkt</w:t>
            </w:r>
          </w:p>
        </w:tc>
      </w:tr>
      <w:tr w:rsidR="00FE4F15" w:rsidRPr="00A96E5F" w:rsidTr="00067BD3">
        <w:tc>
          <w:tcPr>
            <w:tcW w:w="558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3 pracowników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2 pkt</w:t>
            </w:r>
          </w:p>
        </w:tc>
      </w:tr>
      <w:tr w:rsidR="00FE4F15" w:rsidRPr="00A96E5F" w:rsidTr="00067BD3">
        <w:tc>
          <w:tcPr>
            <w:tcW w:w="558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150" w:type="dxa"/>
            <w:vMerge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3795" w:type="dxa"/>
            <w:vAlign w:val="center"/>
          </w:tcPr>
          <w:p w:rsidR="00FE4F15" w:rsidRPr="00A96E5F" w:rsidRDefault="00FE4F15" w:rsidP="00067BD3">
            <w:pPr>
              <w:spacing w:after="120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2 pracowników</w:t>
            </w:r>
          </w:p>
        </w:tc>
        <w:tc>
          <w:tcPr>
            <w:tcW w:w="1701" w:type="dxa"/>
            <w:vAlign w:val="center"/>
          </w:tcPr>
          <w:p w:rsidR="00FE4F15" w:rsidRPr="00A96E5F" w:rsidRDefault="00FE4F15" w:rsidP="00067BD3">
            <w:pPr>
              <w:spacing w:after="12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A96E5F">
              <w:rPr>
                <w:rFonts w:asciiTheme="minorHAnsi" w:eastAsia="Times New Roman" w:hAnsiTheme="minorHAnsi" w:cs="Arial"/>
                <w:lang w:eastAsia="pl-PL"/>
              </w:rPr>
              <w:t>1 pkt</w:t>
            </w:r>
          </w:p>
        </w:tc>
      </w:tr>
    </w:tbl>
    <w:p w:rsidR="00FE4F15" w:rsidRPr="00A96E5F" w:rsidRDefault="00FE4F15" w:rsidP="00FE4F15">
      <w:pPr>
        <w:spacing w:after="0"/>
        <w:rPr>
          <w:rFonts w:asciiTheme="minorHAnsi" w:eastAsia="Times New Roman" w:hAnsiTheme="minorHAnsi" w:cs="Arial"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9"/>
        </w:numPr>
        <w:spacing w:after="120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iCs/>
          <w:lang w:eastAsia="pl-PL"/>
        </w:rPr>
        <w:t>Przeznaczenie grantów i sposób określenia ich wysokości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Pr="00A96E5F">
        <w:rPr>
          <w:rFonts w:asciiTheme="minorHAnsi" w:eastAsia="Times New Roman" w:hAnsiTheme="minorHAnsi" w:cs="Arial"/>
          <w:lang w:eastAsia="pl-PL"/>
        </w:rPr>
        <w:t>Gminy zakwalifikowane do udziału w projekcie mogą otrzymać grant wyłącznie na realizację procesu pogłębionych konsultacji społecznych dokumentów planistycznych, tj. na realizację I lub II etapu konsultacji dokumentów planistycznych gdzie:</w:t>
      </w:r>
    </w:p>
    <w:p w:rsidR="00FE4F15" w:rsidRDefault="00FE4F15" w:rsidP="00FE4F15">
      <w:pPr>
        <w:pStyle w:val="Akapitzlist"/>
        <w:numPr>
          <w:ilvl w:val="0"/>
          <w:numId w:val="15"/>
        </w:numPr>
        <w:spacing w:after="120"/>
        <w:ind w:left="1418" w:hanging="284"/>
        <w:contextualSpacing w:val="0"/>
        <w:jc w:val="both"/>
        <w:rPr>
          <w:rFonts w:asciiTheme="minorHAnsi" w:hAnsiTheme="minorHAnsi"/>
        </w:rPr>
      </w:pPr>
      <w:r w:rsidRPr="00A96E5F">
        <w:rPr>
          <w:rFonts w:asciiTheme="minorHAnsi" w:hAnsiTheme="minorHAnsi"/>
        </w:rPr>
        <w:t>I etap konsultacji obejmuje okres pomiędzy przyjęciem przez gminę uchwały o przystąpieniu do sporządzenia/ zmiany planu miejscowego lub studium a przekazaniem sporządzonego projektu dokumentu planistycznego do opinii komisji urbanistyczno-architektonicznej,</w:t>
      </w:r>
    </w:p>
    <w:p w:rsidR="00FE4F15" w:rsidRPr="009E69E1" w:rsidRDefault="00FE4F15" w:rsidP="00FE4F15">
      <w:pPr>
        <w:pStyle w:val="Akapitzlist"/>
        <w:numPr>
          <w:ilvl w:val="0"/>
          <w:numId w:val="15"/>
        </w:numPr>
        <w:spacing w:after="120"/>
        <w:ind w:left="1418" w:hanging="284"/>
        <w:contextualSpacing w:val="0"/>
        <w:jc w:val="both"/>
        <w:rPr>
          <w:rFonts w:asciiTheme="minorHAnsi" w:hAnsiTheme="minorHAnsi"/>
        </w:rPr>
      </w:pPr>
      <w:r w:rsidRPr="009E69E1">
        <w:rPr>
          <w:rFonts w:asciiTheme="minorHAnsi" w:hAnsiTheme="minorHAnsi"/>
        </w:rPr>
        <w:t>II etap konsultacji obejmuje okres pomiędzy wyłożeniem planu lub studium do publicznego wglądu a przekazaniem uzgodnionego planu lub studium radzie gminy do uchwalenia.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Granty</w:t>
      </w:r>
      <w:r w:rsidRPr="00A96E5F">
        <w:rPr>
          <w:rFonts w:asciiTheme="minorHAnsi" w:eastAsia="Times New Roman" w:hAnsiTheme="minorHAnsi"/>
          <w:lang w:eastAsia="pl-PL"/>
        </w:rPr>
        <w:t xml:space="preserve"> nie mogą być przeznaczone na </w:t>
      </w:r>
      <w:r w:rsidRPr="00A96E5F">
        <w:rPr>
          <w:rFonts w:asciiTheme="minorHAnsi" w:hAnsiTheme="minorHAnsi"/>
        </w:rPr>
        <w:t>finansowanie kosztów sporządzenia dokumentu planistycznego.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Średnia wartość przyznanego grantu dla jednej gminy to 20 000,00 zł.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Co najmniej 75% gmin zakwalifikowanych do udziału w projekcie będzie realizować I etap konsultacji społecznych dokumentów planistycznych.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Podstawą do określenia zakresu i wysokości grantu dla każdej z zakwalifikowanych do projektu gmin będzie Indywidualny Plan Konsultacji, o którym mowa w rozdziale 1 pkt 1.6 niniejszego Regulaminu.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 xml:space="preserve">Indywidualny Plan Konsultacji będzie opracowywany przez każdą gminę, która podpisze deklaracje uczestnictwa w projekcie we współpracy z przedstawicielami </w:t>
      </w:r>
      <w:r>
        <w:rPr>
          <w:rFonts w:asciiTheme="minorHAnsi" w:eastAsia="Times New Roman" w:hAnsiTheme="minorHAnsi"/>
          <w:lang w:eastAsia="pl-PL"/>
        </w:rPr>
        <w:t>Partnerstwa</w:t>
      </w:r>
      <w:r w:rsidRPr="00A96E5F">
        <w:rPr>
          <w:rFonts w:asciiTheme="minorHAnsi" w:eastAsia="Times New Roman" w:hAnsiTheme="minorHAnsi"/>
          <w:lang w:eastAsia="pl-PL"/>
        </w:rPr>
        <w:t>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Indywidualny Plan Konsultacji musi zawierać harmonogram rzeczowo-finansowy, określający poszczególne etapy/zadania zaplanowane do zrealizowania w danym okresie oraz ich orientacyjny koszt, bez wskazywania konkretnych wydatków planowanych do poniesienia.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 xml:space="preserve">Zespół opracowujący Indywidualny Plan Konsultacji, w tym harmonogram rzeczowo-finansowy zobligowany jest do szacowania kosztów w sposób oszczędny, tzn. niezawyżony w stosunku do średnich cen i stawek rynkowych i spełniających wymogi uzyskiwania najlepszych efektów z danych rezultatów oraz adekwatny do wybranych technik konsultacyjnych. Do oceny kwalifikowalności wydatków </w:t>
      </w:r>
      <w:r w:rsidRPr="00A96E5F">
        <w:rPr>
          <w:rFonts w:asciiTheme="minorHAnsi" w:eastAsia="Times New Roman" w:hAnsiTheme="minorHAnsi" w:cs="Arial"/>
          <w:lang w:eastAsia="pl-PL"/>
        </w:rPr>
        <w:t xml:space="preserve">nie będą brane pod uwagę </w:t>
      </w:r>
      <w:r w:rsidRPr="00A96E5F">
        <w:rPr>
          <w:rFonts w:asciiTheme="minorHAnsi" w:eastAsia="Times New Roman" w:hAnsiTheme="minorHAnsi" w:cs="Arial"/>
          <w:i/>
          <w:lang w:eastAsia="pl-PL"/>
        </w:rPr>
        <w:t xml:space="preserve">Wytyczne w zakresie kwalifikowalności wydatków w ramach Europejskiego </w:t>
      </w:r>
      <w:r w:rsidRPr="00A96E5F">
        <w:rPr>
          <w:rFonts w:asciiTheme="minorHAnsi" w:eastAsia="Times New Roman" w:hAnsiTheme="minorHAnsi" w:cs="Arial"/>
          <w:i/>
          <w:lang w:eastAsia="pl-PL"/>
        </w:rPr>
        <w:lastRenderedPageBreak/>
        <w:t>Funduszu Rozwoju Regionalnego, Europejskiego Funduszu Społecznego oraz Funduszu Spójności na lata 2014 – 2020</w:t>
      </w:r>
      <w:r w:rsidRPr="00A96E5F">
        <w:rPr>
          <w:rFonts w:asciiTheme="minorHAnsi" w:eastAsia="Times New Roman" w:hAnsiTheme="minorHAnsi" w:cs="Arial"/>
          <w:lang w:eastAsia="pl-PL"/>
        </w:rPr>
        <w:t>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 xml:space="preserve">Opracowany Indywidualny Plan Konsultacji będzie podlegał weryfikacji i zatwierdzeniu przez zespół powołany przez Grantodawcę </w:t>
      </w:r>
      <w:r>
        <w:rPr>
          <w:rFonts w:asciiTheme="minorHAnsi" w:eastAsia="Times New Roman" w:hAnsiTheme="minorHAnsi"/>
          <w:lang w:eastAsia="pl-PL"/>
        </w:rPr>
        <w:t xml:space="preserve">(CRIS) </w:t>
      </w:r>
      <w:r w:rsidRPr="00A96E5F">
        <w:rPr>
          <w:rFonts w:asciiTheme="minorHAnsi" w:eastAsia="Times New Roman" w:hAnsiTheme="minorHAnsi"/>
          <w:lang w:eastAsia="pl-PL"/>
        </w:rPr>
        <w:t>składający się ze specjalistów ds. procesu konsultacji, urbanistów i koordynatora, którzy zdecydują o ostatecznej wysokości przyznanego gminie grantu.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hAnsiTheme="minorHAnsi"/>
        </w:rPr>
        <w:t>Grantodawca bierze odpowiedzialność za zasadność oraz efektywność finansową określonych w grancie wydatków.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Wysokość grantu będzie zależna od:</w:t>
      </w:r>
    </w:p>
    <w:p w:rsidR="00FE4F15" w:rsidRPr="00A96E5F" w:rsidRDefault="00FE4F15" w:rsidP="00FE4F15">
      <w:pPr>
        <w:pStyle w:val="Akapitzlist"/>
        <w:numPr>
          <w:ilvl w:val="0"/>
          <w:numId w:val="6"/>
        </w:numPr>
        <w:spacing w:after="120"/>
        <w:ind w:hanging="306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liczby i charakteru wybranych do wdrożenia technik konsultacji społecznych, w tym takich, które zapewniają udział w konsultacjach jak najszerszej grupie odbiorców m.in. młodzieży, seniorom, os. z niepełnosprawnościami itp.,</w:t>
      </w:r>
    </w:p>
    <w:p w:rsidR="00FE4F15" w:rsidRPr="00A96E5F" w:rsidRDefault="00FE4F15" w:rsidP="00FE4F15">
      <w:pPr>
        <w:pStyle w:val="Akapitzlist"/>
        <w:numPr>
          <w:ilvl w:val="0"/>
          <w:numId w:val="6"/>
        </w:numPr>
        <w:spacing w:after="120"/>
        <w:ind w:hanging="306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wielkości gminy oraz obszaru wytypowanego do realizacji procedury planistycznej,</w:t>
      </w:r>
    </w:p>
    <w:p w:rsidR="00FE4F15" w:rsidRPr="00A96E5F" w:rsidRDefault="00FE4F15" w:rsidP="00FE4F15">
      <w:pPr>
        <w:pStyle w:val="Akapitzlist"/>
        <w:numPr>
          <w:ilvl w:val="0"/>
          <w:numId w:val="6"/>
        </w:numPr>
        <w:spacing w:after="120"/>
        <w:ind w:hanging="306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liczby potencjalnych uczestników procesu konsultacji społecznych (liczba mieszkańców, zróżnicowane grupy interesariuszy),</w:t>
      </w:r>
    </w:p>
    <w:p w:rsidR="00FE4F15" w:rsidRPr="00A96E5F" w:rsidRDefault="00FE4F15" w:rsidP="00FE4F15">
      <w:pPr>
        <w:pStyle w:val="Akapitzlist"/>
        <w:numPr>
          <w:ilvl w:val="0"/>
          <w:numId w:val="6"/>
        </w:numPr>
        <w:spacing w:after="120"/>
        <w:ind w:hanging="306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posiadanego przez gminę potencjału/zasobów do prowadzenia pogłębionych procesów konsultacji (m.in. zasoby rzeczowe, techniczne jak dostępne sale spotkań, sprzęt audiowizualny, interaktywne platformy komunikacji z mieszkańcami, wewnętrzne dokumenty precyzujące procesy konsultacji; zasoby ludzkie: moderatorzy spotkań konsultacyjnych, zespół planistów, osoba odpowiedzialna za proces konsultacji itd.),</w:t>
      </w:r>
    </w:p>
    <w:p w:rsidR="00FE4F15" w:rsidRPr="00A96E5F" w:rsidRDefault="00FE4F15" w:rsidP="00FE4F15">
      <w:pPr>
        <w:pStyle w:val="Akapitzlist"/>
        <w:numPr>
          <w:ilvl w:val="0"/>
          <w:numId w:val="6"/>
        </w:numPr>
        <w:spacing w:after="120"/>
        <w:ind w:hanging="306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zaproponowanego harmonogramu procesu konsultacji.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0"/>
        <w:ind w:left="1134" w:hanging="471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A96E5F">
        <w:rPr>
          <w:rFonts w:asciiTheme="minorHAnsi" w:eastAsia="Times New Roman" w:hAnsiTheme="minorHAnsi"/>
          <w:lang w:eastAsia="pl-PL"/>
        </w:rPr>
        <w:t>Przeanalizowany i zatwierdzony Indywidualny Plan Konsultacji będzie stanowił załącznik do umowy o powierzeniu grantu zawartej z gminą.</w:t>
      </w:r>
    </w:p>
    <w:p w:rsidR="00FE4F15" w:rsidRPr="00A96E5F" w:rsidRDefault="00FE4F15" w:rsidP="00FE4F15">
      <w:pPr>
        <w:spacing w:after="120"/>
        <w:rPr>
          <w:rFonts w:asciiTheme="minorHAnsi" w:eastAsia="Times New Roman" w:hAnsiTheme="minorHAnsi"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Theme="minorHAnsi" w:hAnsiTheme="minorHAnsi"/>
          <w:b/>
          <w:lang w:eastAsia="pl-PL"/>
        </w:rPr>
      </w:pPr>
      <w:r w:rsidRPr="00A96E5F">
        <w:rPr>
          <w:rFonts w:asciiTheme="minorHAnsi" w:hAnsiTheme="minorHAnsi"/>
          <w:b/>
          <w:lang w:eastAsia="pl-PL"/>
        </w:rPr>
        <w:t>Tryb wypłacania grantów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hAnsiTheme="minorHAnsi"/>
          <w:b/>
          <w:lang w:eastAsia="pl-PL"/>
        </w:rPr>
      </w:pPr>
      <w:r w:rsidRPr="00A96E5F">
        <w:rPr>
          <w:rFonts w:asciiTheme="minorHAnsi" w:hAnsiTheme="minorHAnsi"/>
          <w:lang w:eastAsia="pl-PL"/>
        </w:rPr>
        <w:t>Warunkami przekazania gminie grantu na prowadzenie pogłębionych konsultacji są:</w:t>
      </w:r>
    </w:p>
    <w:p w:rsidR="00FE4F15" w:rsidRPr="00A96E5F" w:rsidRDefault="00FE4F15" w:rsidP="00FE4F15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 xml:space="preserve">opracowanie Indywidualnego Planu Konsultacji we współpracy z opiekunem gminy i urbanistą z ramienia </w:t>
      </w:r>
      <w:r>
        <w:rPr>
          <w:rFonts w:asciiTheme="minorHAnsi" w:hAnsiTheme="minorHAnsi"/>
          <w:lang w:eastAsia="pl-PL"/>
        </w:rPr>
        <w:t>Partnerstwa</w:t>
      </w:r>
      <w:r w:rsidRPr="00A96E5F">
        <w:rPr>
          <w:rFonts w:asciiTheme="minorHAnsi" w:hAnsiTheme="minorHAnsi"/>
          <w:lang w:eastAsia="pl-PL"/>
        </w:rPr>
        <w:t xml:space="preserve"> oraz</w:t>
      </w:r>
    </w:p>
    <w:p w:rsidR="00FE4F15" w:rsidRPr="00A96E5F" w:rsidRDefault="00FE4F15" w:rsidP="00FE4F15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>podpisanie umowy grantowej</w:t>
      </w:r>
      <w:r w:rsidRPr="00A96E5F">
        <w:rPr>
          <w:rFonts w:asciiTheme="minorHAnsi" w:eastAsia="Times New Roman" w:hAnsiTheme="minorHAnsi" w:cs="Arial"/>
          <w:lang w:eastAsia="pl-PL"/>
        </w:rPr>
        <w:t>, określającej wysokość, przeznaczenie, zasady przekazywania i rozliczania grantu</w:t>
      </w:r>
      <w:r w:rsidRPr="00A96E5F">
        <w:rPr>
          <w:rFonts w:asciiTheme="minorHAnsi" w:hAnsiTheme="minorHAnsi"/>
          <w:lang w:eastAsia="pl-PL"/>
        </w:rPr>
        <w:t>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>Granty będą przekazywane gminom zgodnie z postanowieniami umowy grantowej</w:t>
      </w:r>
      <w:r w:rsidRPr="00A96E5F">
        <w:rPr>
          <w:rFonts w:asciiTheme="minorHAnsi" w:hAnsiTheme="minorHAnsi"/>
          <w:color w:val="000000"/>
        </w:rPr>
        <w:t xml:space="preserve">. W zależności od ustaleń z gminą </w:t>
      </w:r>
      <w:r w:rsidRPr="00A96E5F">
        <w:rPr>
          <w:rFonts w:asciiTheme="minorHAnsi" w:hAnsiTheme="minorHAnsi"/>
          <w:lang w:eastAsia="pl-PL"/>
        </w:rPr>
        <w:t>umowa grantowa</w:t>
      </w:r>
      <w:r w:rsidRPr="00A96E5F">
        <w:rPr>
          <w:rFonts w:asciiTheme="minorHAnsi" w:hAnsiTheme="minorHAnsi"/>
          <w:color w:val="000000"/>
        </w:rPr>
        <w:t xml:space="preserve"> może wskazać jedną z dwóch form przekazania grantu:</w:t>
      </w:r>
    </w:p>
    <w:p w:rsidR="00FE4F15" w:rsidRPr="00A96E5F" w:rsidRDefault="00FE4F15" w:rsidP="00FE4F15">
      <w:pPr>
        <w:pStyle w:val="Akapitzlist"/>
        <w:numPr>
          <w:ilvl w:val="2"/>
          <w:numId w:val="5"/>
        </w:numPr>
        <w:spacing w:after="120"/>
        <w:ind w:left="1418" w:hanging="284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>jednorazowa płatność z góry,</w:t>
      </w:r>
    </w:p>
    <w:p w:rsidR="00FE4F15" w:rsidRPr="00A96E5F" w:rsidRDefault="00FE4F15" w:rsidP="00FE4F15">
      <w:pPr>
        <w:pStyle w:val="Akapitzlist"/>
        <w:numPr>
          <w:ilvl w:val="2"/>
          <w:numId w:val="5"/>
        </w:numPr>
        <w:spacing w:after="120"/>
        <w:ind w:left="1418" w:hanging="28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>płatność w transzach.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>W przypadku przekazywania grantu w transzach, kolejne transze będą wypłacane zgodnie z harmonogramem rzeczowo-finansowym stanowiącym załącznik do umowy grantowej.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lastRenderedPageBreak/>
        <w:t>Harmonogram rzeczowo-finansowy może być aktualizowany przez gminę. Nie wymaga to formy aneksu do umowy grantowej. W celu aktualizacji harmonogramu gmina przedstawia pisemną (</w:t>
      </w:r>
      <w:r w:rsidRPr="00A96E5F">
        <w:rPr>
          <w:rStyle w:val="fontstyle01"/>
          <w:rFonts w:asciiTheme="minorHAnsi" w:hAnsiTheme="minorHAnsi"/>
        </w:rPr>
        <w:t>skan pisma wysłany mailem, oryginał pocztą</w:t>
      </w:r>
      <w:r w:rsidRPr="00A96E5F">
        <w:rPr>
          <w:rFonts w:asciiTheme="minorHAnsi" w:hAnsiTheme="minorHAnsi"/>
          <w:lang w:eastAsia="pl-PL"/>
        </w:rPr>
        <w:t xml:space="preserve">) propozycję zmiany </w:t>
      </w:r>
      <w:r>
        <w:rPr>
          <w:rFonts w:asciiTheme="minorHAnsi" w:hAnsiTheme="minorHAnsi"/>
          <w:lang w:eastAsia="pl-PL"/>
        </w:rPr>
        <w:t>G</w:t>
      </w:r>
      <w:r w:rsidRPr="00A96E5F">
        <w:rPr>
          <w:rFonts w:asciiTheme="minorHAnsi" w:hAnsiTheme="minorHAnsi"/>
          <w:lang w:eastAsia="pl-PL"/>
        </w:rPr>
        <w:t>rantodawcy (tj. CRIS), który ustosunkowuje się do niej w ciągu 5 dni roboczych.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 xml:space="preserve">Przekazanie drugiej i kolejnych transzy grantu będzie możliwe po zrealizowaniu co najmniej 75% działań zaplanowanych w IPK. W tym celu gmina przedstawi sprawozdanie z dotąd przeprowadzonych działań finansowanych z dotychczas otrzymanych środków. 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>Grant lub pierwsza transza grantu może być przekazana gminie najwcześniej bezpośrednio przed rozpoczęciem faktycznego wdrażania Indywidualnego Planu Konsultacji.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>Grant będzie przekazywany na rachunek bankowy wskazany przez gminę w umowy grantowej.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0"/>
        <w:ind w:left="1134" w:hanging="414"/>
        <w:contextualSpacing w:val="0"/>
        <w:jc w:val="both"/>
        <w:rPr>
          <w:rFonts w:asciiTheme="minorHAnsi" w:hAnsiTheme="minorHAnsi"/>
          <w:lang w:eastAsia="pl-PL"/>
        </w:rPr>
      </w:pPr>
      <w:r w:rsidRPr="00A96E5F">
        <w:rPr>
          <w:rFonts w:asciiTheme="minorHAnsi" w:hAnsiTheme="minorHAnsi"/>
          <w:lang w:eastAsia="pl-PL"/>
        </w:rPr>
        <w:t xml:space="preserve">Wypłata grantu lub transzy grantu będzie uzależniona od terminowego przekazywania płatności ze strony Instytucji Zarządzającej Programem Operacyjnym Wiedza Edukacja Rozwój, tj. Ministerstwa </w:t>
      </w:r>
      <w:r>
        <w:rPr>
          <w:rFonts w:asciiTheme="minorHAnsi" w:hAnsiTheme="minorHAnsi"/>
          <w:lang w:eastAsia="pl-PL"/>
        </w:rPr>
        <w:t>Funduszy</w:t>
      </w:r>
      <w:r w:rsidRPr="00A96E5F">
        <w:rPr>
          <w:rFonts w:asciiTheme="minorHAnsi" w:hAnsiTheme="minorHAnsi"/>
          <w:lang w:eastAsia="pl-PL"/>
        </w:rPr>
        <w:t xml:space="preserve"> i </w:t>
      </w:r>
      <w:r>
        <w:rPr>
          <w:rFonts w:asciiTheme="minorHAnsi" w:hAnsiTheme="minorHAnsi"/>
          <w:lang w:eastAsia="pl-PL"/>
        </w:rPr>
        <w:t>Polityki</w:t>
      </w:r>
      <w:r w:rsidRPr="00A96E5F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 xml:space="preserve">Regionalnej </w:t>
      </w:r>
      <w:r w:rsidRPr="00A96E5F">
        <w:rPr>
          <w:rFonts w:asciiTheme="minorHAnsi" w:hAnsiTheme="minorHAnsi"/>
          <w:lang w:eastAsia="pl-PL"/>
        </w:rPr>
        <w:t xml:space="preserve">na rzecz </w:t>
      </w:r>
      <w:r>
        <w:rPr>
          <w:rFonts w:asciiTheme="minorHAnsi" w:hAnsiTheme="minorHAnsi"/>
          <w:lang w:eastAsia="pl-PL"/>
        </w:rPr>
        <w:t>Partnerstwa</w:t>
      </w:r>
      <w:r w:rsidRPr="00A96E5F">
        <w:rPr>
          <w:rFonts w:asciiTheme="minorHAnsi" w:hAnsiTheme="minorHAnsi"/>
          <w:lang w:eastAsia="pl-PL"/>
        </w:rPr>
        <w:t>.</w:t>
      </w:r>
    </w:p>
    <w:p w:rsidR="00FE4F15" w:rsidRPr="00A96E5F" w:rsidRDefault="00FE4F15" w:rsidP="00FE4F15">
      <w:pPr>
        <w:spacing w:after="120"/>
        <w:rPr>
          <w:rFonts w:asciiTheme="minorHAnsi" w:hAnsiTheme="minorHAnsi" w:cs="Arial"/>
        </w:rPr>
      </w:pPr>
    </w:p>
    <w:p w:rsidR="00FE4F15" w:rsidRPr="00A96E5F" w:rsidRDefault="00FE4F15" w:rsidP="00FE4F15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hAnsiTheme="minorHAnsi"/>
          <w:b/>
          <w:lang w:eastAsia="pl-PL"/>
        </w:rPr>
      </w:pPr>
      <w:r w:rsidRPr="00A96E5F">
        <w:rPr>
          <w:rFonts w:asciiTheme="minorHAnsi" w:hAnsiTheme="minorHAnsi"/>
          <w:b/>
          <w:lang w:eastAsia="pl-PL"/>
        </w:rPr>
        <w:t>Zabezpieczeniu grantów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0"/>
        <w:ind w:left="1134" w:hanging="414"/>
        <w:contextualSpacing w:val="0"/>
        <w:jc w:val="both"/>
        <w:rPr>
          <w:rFonts w:asciiTheme="minorHAnsi" w:hAnsiTheme="minorHAnsi"/>
          <w:b/>
          <w:lang w:eastAsia="pl-PL"/>
        </w:rPr>
      </w:pPr>
      <w:r w:rsidRPr="00A96E5F">
        <w:rPr>
          <w:rStyle w:val="fontstyle01"/>
          <w:rFonts w:asciiTheme="minorHAnsi" w:hAnsiTheme="minorHAnsi"/>
        </w:rPr>
        <w:t xml:space="preserve">Gmina jest zobowiązana zwrócić całość lub część grantu w przypadku wykorzystania go niezgodnie z postanowieniami </w:t>
      </w:r>
      <w:r w:rsidRPr="00A96E5F">
        <w:rPr>
          <w:rFonts w:asciiTheme="minorHAnsi" w:hAnsiTheme="minorHAnsi"/>
          <w:lang w:eastAsia="pl-PL"/>
        </w:rPr>
        <w:t>umowy grantowej</w:t>
      </w:r>
      <w:r w:rsidRPr="00A96E5F">
        <w:rPr>
          <w:rStyle w:val="fontstyle01"/>
          <w:rFonts w:asciiTheme="minorHAnsi" w:hAnsiTheme="minorHAnsi"/>
        </w:rPr>
        <w:t>, w szczególności w razie:</w:t>
      </w:r>
    </w:p>
    <w:p w:rsidR="00FE4F15" w:rsidRPr="00A96E5F" w:rsidRDefault="00FE4F15" w:rsidP="00FE4F15">
      <w:pPr>
        <w:pStyle w:val="Akapitzlist"/>
        <w:numPr>
          <w:ilvl w:val="2"/>
          <w:numId w:val="7"/>
        </w:numPr>
        <w:spacing w:after="120"/>
        <w:ind w:left="1417" w:hanging="340"/>
        <w:jc w:val="both"/>
        <w:rPr>
          <w:rFonts w:asciiTheme="minorHAnsi" w:hAnsiTheme="minorHAnsi"/>
          <w:b/>
          <w:lang w:eastAsia="pl-PL"/>
        </w:rPr>
      </w:pPr>
      <w:r w:rsidRPr="00A96E5F">
        <w:rPr>
          <w:rStyle w:val="fontstyle01"/>
          <w:rFonts w:asciiTheme="minorHAnsi" w:hAnsiTheme="minorHAnsi"/>
        </w:rPr>
        <w:t>przeznaczenia grantu na inne cele, niż związane z realizacją indywidualnego planu konsultacji,</w:t>
      </w:r>
    </w:p>
    <w:p w:rsidR="00FE4F15" w:rsidRPr="00A96E5F" w:rsidRDefault="00FE4F15" w:rsidP="00FE4F15">
      <w:pPr>
        <w:pStyle w:val="Akapitzlist"/>
        <w:numPr>
          <w:ilvl w:val="2"/>
          <w:numId w:val="7"/>
        </w:numPr>
        <w:spacing w:after="120"/>
        <w:ind w:left="1417" w:hanging="340"/>
        <w:jc w:val="both"/>
        <w:rPr>
          <w:rStyle w:val="fontstyle01"/>
          <w:rFonts w:asciiTheme="minorHAnsi" w:hAnsiTheme="minorHAnsi"/>
          <w:b/>
          <w:lang w:eastAsia="pl-PL"/>
        </w:rPr>
      </w:pPr>
      <w:r w:rsidRPr="00A96E5F">
        <w:rPr>
          <w:rStyle w:val="fontstyle01"/>
          <w:rFonts w:asciiTheme="minorHAnsi" w:hAnsiTheme="minorHAnsi"/>
        </w:rPr>
        <w:t xml:space="preserve">przeprowadzenia bez uzgodnień z </w:t>
      </w:r>
      <w:r>
        <w:rPr>
          <w:rFonts w:asciiTheme="minorHAnsi" w:hAnsiTheme="minorHAnsi"/>
          <w:lang w:eastAsia="pl-PL"/>
        </w:rPr>
        <w:t>G</w:t>
      </w:r>
      <w:r w:rsidRPr="00A96E5F">
        <w:rPr>
          <w:rFonts w:asciiTheme="minorHAnsi" w:hAnsiTheme="minorHAnsi"/>
          <w:lang w:eastAsia="pl-PL"/>
        </w:rPr>
        <w:t>rantodawcą</w:t>
      </w:r>
      <w:r w:rsidRPr="00A96E5F">
        <w:rPr>
          <w:rStyle w:val="fontstyle01"/>
          <w:rFonts w:asciiTheme="minorHAnsi" w:hAnsiTheme="minorHAnsi"/>
        </w:rPr>
        <w:t xml:space="preserve"> konsultacji z wykorzystaniem innych technik, niż określone w Indywidualnym Planie Konsultacji,</w:t>
      </w:r>
    </w:p>
    <w:p w:rsidR="00FE4F15" w:rsidRPr="00A96E5F" w:rsidRDefault="00FE4F15" w:rsidP="00FE4F15">
      <w:pPr>
        <w:pStyle w:val="Akapitzlist"/>
        <w:numPr>
          <w:ilvl w:val="2"/>
          <w:numId w:val="7"/>
        </w:numPr>
        <w:spacing w:after="120"/>
        <w:ind w:left="1417" w:hanging="340"/>
        <w:jc w:val="both"/>
        <w:rPr>
          <w:rStyle w:val="fontstyle01"/>
          <w:rFonts w:asciiTheme="minorHAnsi" w:hAnsiTheme="minorHAnsi"/>
          <w:b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pominięcia działań zapewniających udział w konsultacjach mieszkańców ze szczególnymi potrzebami (m.in. seniorów, osób z różnymi niepełnosprawnościami, rodzin z małymi dziećmi).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0"/>
        <w:ind w:left="1134" w:hanging="414"/>
        <w:contextualSpacing w:val="0"/>
        <w:jc w:val="both"/>
        <w:rPr>
          <w:rStyle w:val="fontstyle01"/>
          <w:rFonts w:asciiTheme="minorHAnsi" w:hAnsiTheme="minorHAnsi"/>
          <w:b/>
          <w:lang w:eastAsia="pl-PL"/>
        </w:rPr>
      </w:pPr>
      <w:r w:rsidRPr="00A96E5F">
        <w:rPr>
          <w:rStyle w:val="fontstyle01"/>
          <w:rFonts w:asciiTheme="minorHAnsi" w:hAnsiTheme="minorHAnsi"/>
        </w:rPr>
        <w:t xml:space="preserve">W przypadku konieczności zwrotu przez gminę całości lub części grantu, należy go dokonać w ciągu 10 dni roboczych od dnia otrzymania wezwania drogą pisemną (skan pisma wysyłany mailem, oryginał pocztą) na wskazany przez </w:t>
      </w:r>
      <w:r>
        <w:rPr>
          <w:rStyle w:val="fontstyle01"/>
          <w:rFonts w:asciiTheme="minorHAnsi" w:hAnsiTheme="minorHAnsi"/>
        </w:rPr>
        <w:t>G</w:t>
      </w:r>
      <w:r w:rsidRPr="00A96E5F">
        <w:rPr>
          <w:rStyle w:val="fontstyle01"/>
          <w:rFonts w:asciiTheme="minorHAnsi" w:hAnsiTheme="minorHAnsi"/>
        </w:rPr>
        <w:t>rantodawcę rachunek bankowy.</w:t>
      </w:r>
    </w:p>
    <w:p w:rsidR="00FE4F15" w:rsidRPr="00A96E5F" w:rsidRDefault="00FE4F15" w:rsidP="00FE4F15">
      <w:pPr>
        <w:spacing w:after="120"/>
        <w:rPr>
          <w:rFonts w:asciiTheme="minorHAnsi" w:hAnsiTheme="minorHAnsi"/>
          <w:b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iCs/>
          <w:lang w:eastAsia="pl-PL"/>
        </w:rPr>
        <w:t>Zmiana przeznaczenia grantów oraz zmiana umowy o powierzenie grantu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Zmiany założeń Indywidualnego Planu Konsultacji, w tym harmonogramu rzeczowo-finansowego są możliwe tylko w uzasadnionych przypadkach i po wcześniejszych konsultacjach z opiekunem gminy oraz zatwierdzeniu proponowanych zmian przez </w:t>
      </w:r>
      <w:r>
        <w:rPr>
          <w:rStyle w:val="fontstyle01"/>
          <w:rFonts w:asciiTheme="minorHAnsi" w:hAnsiTheme="minorHAnsi"/>
        </w:rPr>
        <w:t>Gr</w:t>
      </w:r>
      <w:r w:rsidRPr="00A96E5F">
        <w:rPr>
          <w:rStyle w:val="fontstyle01"/>
          <w:rFonts w:asciiTheme="minorHAnsi" w:hAnsiTheme="minorHAnsi"/>
        </w:rPr>
        <w:t>antodawcę</w:t>
      </w:r>
      <w:r w:rsidRPr="00A96E5F">
        <w:rPr>
          <w:rFonts w:asciiTheme="minorHAnsi" w:eastAsia="Times New Roman" w:hAnsiTheme="minorHAnsi" w:cs="Arial"/>
          <w:lang w:eastAsia="pl-PL"/>
        </w:rPr>
        <w:t>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Propozycja wprowadzenia zmian powinna być zgłaszana droga elektroniczną na minimum 10 dni roboczych przed wprowadzeniem ich w życie. 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lastRenderedPageBreak/>
        <w:t>Grantodawca jest zobowiązany poinformować gminę o akceptacji proponowanych zmian lub o braku akceptacji w terminie 5 dni ro</w:t>
      </w:r>
      <w:r>
        <w:rPr>
          <w:rFonts w:asciiTheme="minorHAnsi" w:eastAsia="Times New Roman" w:hAnsiTheme="minorHAnsi" w:cs="Arial"/>
          <w:lang w:eastAsia="pl-PL"/>
        </w:rPr>
        <w:t>boczych od otrzymania wniosku o </w:t>
      </w:r>
      <w:r w:rsidRPr="00A96E5F">
        <w:rPr>
          <w:rFonts w:asciiTheme="minorHAnsi" w:eastAsia="Times New Roman" w:hAnsiTheme="minorHAnsi" w:cs="Arial"/>
          <w:lang w:eastAsia="pl-PL"/>
        </w:rPr>
        <w:t>dokonanie zmian.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Zmiany dotyczące zakresu działań wskazanych w Indywidualnym Planie Konsultacji, które prowadzą do przesunięć między poszczególnymi kategoriami wydatków nie wymagają podpisywania aneksu do umowy o powierzenie grantu.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Zmiany dotyczące obniżenia lub zwiększenia wartości dotacji wymagają podpisania aneksu do umowy o powierzenie grantu.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25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Zmiany przeznaczenia grantów nie mogą dotyczyć:</w:t>
      </w:r>
    </w:p>
    <w:p w:rsidR="00FE4F15" w:rsidRPr="00A96E5F" w:rsidRDefault="00FE4F15" w:rsidP="00FE4F15">
      <w:pPr>
        <w:pStyle w:val="Akapitzlist"/>
        <w:numPr>
          <w:ilvl w:val="2"/>
          <w:numId w:val="13"/>
        </w:numPr>
        <w:spacing w:after="120"/>
        <w:ind w:left="1418" w:hanging="284"/>
        <w:jc w:val="both"/>
        <w:rPr>
          <w:rStyle w:val="fontstyle01"/>
          <w:rFonts w:asciiTheme="minorHAnsi" w:hAnsiTheme="minorHAnsi"/>
        </w:rPr>
      </w:pPr>
      <w:r w:rsidRPr="00A96E5F">
        <w:rPr>
          <w:rStyle w:val="fontstyle01"/>
          <w:rFonts w:asciiTheme="minorHAnsi" w:hAnsiTheme="minorHAnsi"/>
        </w:rPr>
        <w:t>wykorzystania mniej niż trzech różnych technik konsultacji społecznych,</w:t>
      </w:r>
    </w:p>
    <w:p w:rsidR="00FE4F15" w:rsidRPr="00A96E5F" w:rsidRDefault="00FE4F15" w:rsidP="00FE4F15">
      <w:pPr>
        <w:pStyle w:val="Akapitzlist"/>
        <w:numPr>
          <w:ilvl w:val="2"/>
          <w:numId w:val="13"/>
        </w:numPr>
        <w:spacing w:after="120"/>
        <w:ind w:left="1418" w:hanging="284"/>
        <w:jc w:val="both"/>
        <w:rPr>
          <w:rStyle w:val="fontstyle01"/>
          <w:rFonts w:asciiTheme="minorHAnsi" w:hAnsiTheme="minorHAnsi"/>
        </w:rPr>
      </w:pPr>
      <w:r w:rsidRPr="00A96E5F">
        <w:rPr>
          <w:rStyle w:val="fontstyle01"/>
          <w:rFonts w:asciiTheme="minorHAnsi" w:hAnsiTheme="minorHAnsi"/>
        </w:rPr>
        <w:t>rezygnacji w zastosowania w procesie konsultacji co najmniej jednego narzędzia internetowego,</w:t>
      </w:r>
    </w:p>
    <w:p w:rsidR="00FE4F15" w:rsidRPr="0004742E" w:rsidRDefault="00FE4F15" w:rsidP="00FE4F15">
      <w:pPr>
        <w:pStyle w:val="Akapitzlist"/>
        <w:numPr>
          <w:ilvl w:val="2"/>
          <w:numId w:val="13"/>
        </w:numPr>
        <w:spacing w:after="0"/>
        <w:ind w:left="1418" w:hanging="284"/>
        <w:contextualSpacing w:val="0"/>
        <w:jc w:val="both"/>
        <w:rPr>
          <w:rStyle w:val="fontstyle01"/>
          <w:rFonts w:asciiTheme="minorHAnsi" w:hAnsiTheme="minorHAnsi"/>
        </w:rPr>
      </w:pPr>
      <w:r w:rsidRPr="00A96E5F">
        <w:rPr>
          <w:rStyle w:val="fontstyle01"/>
          <w:rFonts w:asciiTheme="minorHAnsi" w:hAnsiTheme="minorHAnsi"/>
        </w:rPr>
        <w:t xml:space="preserve">skrócenia okresu monitoringu wskaźnika rezultatu  projektu: </w:t>
      </w:r>
      <w:r w:rsidRPr="00A96E5F">
        <w:rPr>
          <w:rStyle w:val="fontstyle01"/>
          <w:rFonts w:asciiTheme="minorHAnsi" w:hAnsiTheme="minorHAnsi"/>
          <w:i/>
        </w:rPr>
        <w:t>Liczba JST, które przedłożyły do zatwierdzenia dokumenty dotyczące planowania przestrzennego wypracowane wspólnie z NGO do końca 2023 r.</w:t>
      </w:r>
    </w:p>
    <w:p w:rsidR="00FE4F15" w:rsidRPr="0004742E" w:rsidRDefault="00FE4F15" w:rsidP="00FE4F15">
      <w:pPr>
        <w:spacing w:after="120"/>
        <w:jc w:val="both"/>
        <w:rPr>
          <w:rStyle w:val="fontstyle01"/>
          <w:rFonts w:asciiTheme="minorHAnsi" w:hAnsiTheme="minorHAnsi"/>
        </w:rPr>
      </w:pPr>
    </w:p>
    <w:p w:rsidR="00FE4F15" w:rsidRPr="00A96E5F" w:rsidRDefault="00FE4F15" w:rsidP="00FE4F15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iCs/>
          <w:lang w:eastAsia="pl-PL"/>
        </w:rPr>
        <w:t>Rozliczanie grantów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 celu rozliczenia grantu/transzy grantu gminy przedstawiają sprawozdania częściowe i końcowe </w:t>
      </w:r>
      <w:r w:rsidRPr="00A96E5F">
        <w:rPr>
          <w:rFonts w:asciiTheme="minorHAnsi" w:hAnsiTheme="minorHAnsi"/>
          <w:lang w:eastAsia="pl-PL"/>
        </w:rPr>
        <w:t>z przeprowadzonych działań finansowanych z otrzymanych środków.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</w:rPr>
        <w:t>W IPK określone będą wymogi ilościowe i jakościowe wobec realizowanych zadań/prowadzonych technik konsultacji, których spełnienie umożliwi rozliczenie grantu. Dlatego s</w:t>
      </w:r>
      <w:r w:rsidRPr="00A96E5F">
        <w:rPr>
          <w:rFonts w:asciiTheme="minorHAnsi" w:hAnsiTheme="minorHAnsi"/>
          <w:lang w:eastAsia="pl-PL"/>
        </w:rPr>
        <w:t>prawozdania będą w szczególności informować o przeprowadzonych działaniach i osiągniętych dzięki nim rezultatach ilościowych i jakościowych zaplanowanych w Indywidualnym Planie Konsultacji.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Sprawozdanie z przeprowadzonych działań gminy sporządzają na wzorze przekazanym przez </w:t>
      </w:r>
      <w:r>
        <w:rPr>
          <w:rFonts w:asciiTheme="minorHAnsi" w:eastAsia="Times New Roman" w:hAnsiTheme="minorHAnsi" w:cs="Arial"/>
          <w:lang w:eastAsia="pl-PL"/>
        </w:rPr>
        <w:t>G</w:t>
      </w:r>
      <w:r w:rsidRPr="00A96E5F">
        <w:rPr>
          <w:rFonts w:asciiTheme="minorHAnsi" w:eastAsia="Times New Roman" w:hAnsiTheme="minorHAnsi" w:cs="Arial"/>
          <w:lang w:eastAsia="pl-PL"/>
        </w:rPr>
        <w:t>rantodawcę i przekazują je w terminie:</w:t>
      </w:r>
    </w:p>
    <w:p w:rsidR="00FE4F15" w:rsidRPr="00A96E5F" w:rsidRDefault="00FE4F15" w:rsidP="00FE4F15">
      <w:pPr>
        <w:pStyle w:val="Akapitzlist"/>
        <w:numPr>
          <w:ilvl w:val="2"/>
          <w:numId w:val="14"/>
        </w:numPr>
        <w:spacing w:after="120"/>
        <w:ind w:left="1418" w:hanging="284"/>
        <w:jc w:val="both"/>
        <w:rPr>
          <w:rStyle w:val="fontstyle01"/>
          <w:rFonts w:asciiTheme="minorHAnsi" w:hAnsiTheme="minorHAnsi"/>
        </w:rPr>
      </w:pPr>
      <w:r w:rsidRPr="00A96E5F">
        <w:rPr>
          <w:rStyle w:val="fontstyle01"/>
          <w:rFonts w:asciiTheme="minorHAnsi" w:hAnsiTheme="minorHAnsi"/>
        </w:rPr>
        <w:t xml:space="preserve">sprawozdania częściowe – obejmujące okres maksymalnie 3 miesięcy realizacji Indywidualnego Planu Konsultacji, składane w terminach określonych </w:t>
      </w:r>
      <w:r w:rsidRPr="00A96E5F">
        <w:rPr>
          <w:rStyle w:val="fontstyle01"/>
          <w:rFonts w:asciiTheme="minorHAnsi" w:hAnsiTheme="minorHAnsi"/>
        </w:rPr>
        <w:br/>
        <w:t>w harmonogramie rzeczowo-finansowym,</w:t>
      </w:r>
    </w:p>
    <w:p w:rsidR="00FE4F15" w:rsidRPr="00A96E5F" w:rsidRDefault="00FE4F15" w:rsidP="00FE4F15">
      <w:pPr>
        <w:pStyle w:val="Akapitzlist"/>
        <w:numPr>
          <w:ilvl w:val="2"/>
          <w:numId w:val="14"/>
        </w:numPr>
        <w:spacing w:after="120"/>
        <w:ind w:left="1418" w:hanging="284"/>
        <w:contextualSpacing w:val="0"/>
        <w:jc w:val="both"/>
        <w:rPr>
          <w:rStyle w:val="fontstyle01"/>
          <w:rFonts w:asciiTheme="minorHAnsi" w:hAnsiTheme="minorHAnsi"/>
        </w:rPr>
      </w:pPr>
      <w:r w:rsidRPr="00A96E5F">
        <w:rPr>
          <w:rStyle w:val="fontstyle01"/>
          <w:rFonts w:asciiTheme="minorHAnsi" w:hAnsiTheme="minorHAnsi"/>
        </w:rPr>
        <w:t>sprawozdania końcowe – do 15 dni roboczych od zakończenia realizacji Indywidualnego Planu Konsultacji.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Granty są rozliczane na dwóch etapach:</w:t>
      </w:r>
    </w:p>
    <w:p w:rsidR="00FE4F15" w:rsidRPr="00A96E5F" w:rsidRDefault="00FE4F15" w:rsidP="00FE4F15">
      <w:pPr>
        <w:pStyle w:val="Akapitzlist"/>
        <w:numPr>
          <w:ilvl w:val="2"/>
          <w:numId w:val="8"/>
        </w:numPr>
        <w:spacing w:after="120"/>
        <w:ind w:left="1418" w:hanging="284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podczas bieżącej realizacji projektu </w:t>
      </w:r>
      <w:r w:rsidRPr="00A96E5F">
        <w:rPr>
          <w:rFonts w:asciiTheme="minorHAnsi" w:eastAsia="Times New Roman" w:hAnsiTheme="minorHAnsi" w:cs="Arial"/>
          <w:i/>
          <w:kern w:val="2"/>
          <w:lang w:eastAsia="pl-PL"/>
        </w:rPr>
        <w:t>Przestrzeń do rozmowy – rozbudowany system konsultacji społecznych w planowaniu przestrzennym</w:t>
      </w:r>
      <w:r w:rsidRPr="00A96E5F">
        <w:rPr>
          <w:rFonts w:asciiTheme="minorHAnsi" w:eastAsia="Times New Roman" w:hAnsiTheme="minorHAnsi" w:cs="Arial"/>
          <w:lang w:eastAsia="pl-PL"/>
        </w:rPr>
        <w:t xml:space="preserve"> – na podstawie zrealizowanych etapów lub całości działań wynikających z Indywidualnego Planu Konsultacji;</w:t>
      </w:r>
    </w:p>
    <w:p w:rsidR="00FE4F15" w:rsidRPr="00A96E5F" w:rsidRDefault="00FE4F15" w:rsidP="00FE4F15">
      <w:pPr>
        <w:pStyle w:val="Akapitzlist"/>
        <w:numPr>
          <w:ilvl w:val="2"/>
          <w:numId w:val="8"/>
        </w:numPr>
        <w:spacing w:after="120"/>
        <w:ind w:left="1418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na zakończenie projektu </w:t>
      </w:r>
      <w:r w:rsidRPr="00A96E5F">
        <w:rPr>
          <w:rFonts w:asciiTheme="minorHAnsi" w:eastAsia="Times New Roman" w:hAnsiTheme="minorHAnsi" w:cs="Arial"/>
          <w:i/>
          <w:kern w:val="2"/>
          <w:lang w:eastAsia="pl-PL"/>
        </w:rPr>
        <w:t>Przestrzeń do rozmowy – rozbudowany system konsultacji społecznych w planowaniu przestrzennym</w:t>
      </w:r>
      <w:r w:rsidRPr="00A96E5F">
        <w:rPr>
          <w:rFonts w:asciiTheme="minorHAnsi" w:eastAsia="Times New Roman" w:hAnsiTheme="minorHAnsi" w:cs="Arial"/>
          <w:lang w:eastAsia="pl-PL"/>
        </w:rPr>
        <w:t xml:space="preserve"> w zakresie wyznaczonym przez </w:t>
      </w:r>
      <w:r w:rsidRPr="00A96E5F">
        <w:rPr>
          <w:rFonts w:asciiTheme="minorHAnsi" w:hAnsiTheme="minorHAnsi"/>
          <w:lang w:eastAsia="pl-PL"/>
        </w:rPr>
        <w:t>umowę grantową</w:t>
      </w:r>
      <w:r w:rsidRPr="00A96E5F">
        <w:rPr>
          <w:rFonts w:asciiTheme="minorHAnsi" w:eastAsia="Times New Roman" w:hAnsiTheme="minorHAnsi" w:cs="Arial"/>
          <w:lang w:eastAsia="pl-PL"/>
        </w:rPr>
        <w:t xml:space="preserve"> – poprzez weryfikację, czy gmina zrealizowała pełen etap lub ewentualnie </w:t>
      </w:r>
      <w:r w:rsidRPr="00A96E5F">
        <w:rPr>
          <w:rFonts w:asciiTheme="minorHAnsi" w:eastAsia="Times New Roman" w:hAnsiTheme="minorHAnsi" w:cs="Arial"/>
          <w:lang w:eastAsia="pl-PL"/>
        </w:rPr>
        <w:lastRenderedPageBreak/>
        <w:t>dwa pełne etapy konsultacji, do których zobowiązała się w umowie na wsparcie merytoryczne i opracowanie indywidualnego planu konsultacji.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 celu rozliczenia grantu gminy nie przedstawiają dokumentów księgowych </w:t>
      </w:r>
      <w:r>
        <w:rPr>
          <w:rFonts w:asciiTheme="minorHAnsi" w:eastAsia="Times New Roman" w:hAnsiTheme="minorHAnsi" w:cs="Arial"/>
          <w:lang w:eastAsia="pl-PL"/>
        </w:rPr>
        <w:t>G</w:t>
      </w:r>
      <w:r w:rsidRPr="00A96E5F">
        <w:rPr>
          <w:rFonts w:asciiTheme="minorHAnsi" w:eastAsia="Times New Roman" w:hAnsiTheme="minorHAnsi" w:cs="Arial"/>
          <w:lang w:eastAsia="pl-PL"/>
        </w:rPr>
        <w:t>rantodawcy.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Gminy są zobowiązane wykorzystać grant zgodnie z prze</w:t>
      </w:r>
      <w:r>
        <w:rPr>
          <w:rFonts w:asciiTheme="minorHAnsi" w:eastAsia="Times New Roman" w:hAnsiTheme="minorHAnsi" w:cs="Arial"/>
          <w:lang w:eastAsia="pl-PL"/>
        </w:rPr>
        <w:t>pisami obowiązującego je prawa,</w:t>
      </w:r>
      <w:r w:rsidRPr="00A96E5F">
        <w:rPr>
          <w:rFonts w:asciiTheme="minorHAnsi" w:eastAsia="Times New Roman" w:hAnsiTheme="minorHAnsi" w:cs="Arial"/>
          <w:lang w:eastAsia="pl-PL"/>
        </w:rPr>
        <w:t xml:space="preserve"> w sposób oszczędny, w okresie realizacji projektu Przestrzeń do rozmowy – rozbudowany system konsultacji społecznych w plano</w:t>
      </w:r>
      <w:r>
        <w:rPr>
          <w:rFonts w:asciiTheme="minorHAnsi" w:eastAsia="Times New Roman" w:hAnsiTheme="minorHAnsi" w:cs="Arial"/>
          <w:lang w:eastAsia="pl-PL"/>
        </w:rPr>
        <w:t>waniu przestrzennym i zgodnie z </w:t>
      </w:r>
      <w:r w:rsidRPr="00A96E5F">
        <w:rPr>
          <w:rFonts w:asciiTheme="minorHAnsi" w:eastAsia="Times New Roman" w:hAnsiTheme="minorHAnsi" w:cs="Arial"/>
          <w:lang w:eastAsia="pl-PL"/>
        </w:rPr>
        <w:t>jego celami.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Gminy nie są zobowiązane przy ponoszeniu wydatków z grantu do stosowania Wytycznych w zakresie kwalifikowalności wydatków w ramach Europejskiego Funduszu Rozwoju Regionalnego, Europejskiego Funduszu Społecznego oraz Funduszu Spójności na lata 2014 – 2020.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W razie niezrealizowania działania wynikającego z Indywidualnego Planu Konsultacji gmina zwraca część grantu przeznaczoną na to działanie po uzgodnieniu tego z </w:t>
      </w:r>
      <w:r>
        <w:rPr>
          <w:rFonts w:asciiTheme="minorHAnsi" w:eastAsia="Times New Roman" w:hAnsiTheme="minorHAnsi" w:cs="Arial"/>
          <w:lang w:eastAsia="pl-PL"/>
        </w:rPr>
        <w:t>G</w:t>
      </w:r>
      <w:r w:rsidRPr="00A96E5F">
        <w:rPr>
          <w:rFonts w:asciiTheme="minorHAnsi" w:eastAsia="Times New Roman" w:hAnsiTheme="minorHAnsi" w:cs="Arial"/>
          <w:lang w:eastAsia="pl-PL"/>
        </w:rPr>
        <w:t>rantodawcą i wprowadzeniu zmian w IPK, przy założeniu, że każda gmina musi zrealizować minimum 3 techniki, w tym jedną internetową.</w:t>
      </w:r>
    </w:p>
    <w:p w:rsidR="00FE4F15" w:rsidRDefault="00FE4F15" w:rsidP="00FE4F15">
      <w:pPr>
        <w:pStyle w:val="Akapitzlist"/>
        <w:numPr>
          <w:ilvl w:val="1"/>
          <w:numId w:val="10"/>
        </w:numPr>
        <w:spacing w:after="120"/>
        <w:ind w:left="1134" w:hanging="41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Gminy są zobowiązane do oznaczania miejsc realizacji działań finansowanych z grantów i wynikających z indywidualnych planów konsultacji odpowiednimi materiałami informacyjnymi udostępnionymi przez organizacje wspierające.</w:t>
      </w:r>
    </w:p>
    <w:p w:rsidR="00FE4F15" w:rsidRPr="00A96E5F" w:rsidRDefault="00FE4F15" w:rsidP="00FE4F15">
      <w:pPr>
        <w:pStyle w:val="Akapitzlist"/>
        <w:spacing w:after="0"/>
        <w:ind w:left="113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 xml:space="preserve">Monitorowanie i kontrola grantów 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Gminy są zobowiązane do współpracy z </w:t>
      </w:r>
      <w:r>
        <w:rPr>
          <w:rFonts w:asciiTheme="minorHAnsi" w:eastAsia="Times New Roman" w:hAnsiTheme="minorHAnsi" w:cs="Arial"/>
          <w:lang w:eastAsia="pl-PL"/>
        </w:rPr>
        <w:t>Partnerstwem</w:t>
      </w:r>
      <w:r w:rsidRPr="00A96E5F">
        <w:rPr>
          <w:rFonts w:asciiTheme="minorHAnsi" w:eastAsia="Times New Roman" w:hAnsiTheme="minorHAnsi" w:cs="Arial"/>
          <w:lang w:eastAsia="pl-PL"/>
        </w:rPr>
        <w:t xml:space="preserve"> oraz innymi instytucjami do tego uprawnionymi w zakresie monitoringu, kontroli i ewaluacji prowadzonych działań oraz osiągania założonych w projekcie rezultatów zarówno w czasie trwania projektu, jak i po jego zakończeniu tj. do końca roku 2023, zwłaszcza w zakresie przedkładania do zatwierdzenia radzie gmin dokumentów planistycznych, wypracowanych w ramach konsultacji.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Szczegółowy zakres prowadzonego monitoringu będzie określała każdorazowo umowa o powierzenie grantu.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Podstawową formą monitoringu będzie analiza prowadzonych przez gminy procesów konsultacji poprzez weryfikację sprawozdań przesyłanych przez gminy, terminowości dostarczania przez gminę dokumentów (IPK, sprawozdań), zgodności realizacji działań zaplanowanych w ramach IPK z harmonogramem (monitoring mediów, maile, telefony) oraz opinii opiekuna gminy.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Stałym elementem monitoringu będą wizyty monitoringowe, organizowane co najmniej raz w okresie wdrażania pogłębionego procesu konsultacji w gminie oraz co najmniej raz po zakończeniu realizacji projektu do końca roku 2023 - chyba że gmina wcześniej osiągnie wskaźnik rezultatu </w:t>
      </w:r>
      <w:r w:rsidRPr="00A96E5F">
        <w:rPr>
          <w:rFonts w:asciiTheme="minorHAnsi" w:eastAsia="Times New Roman" w:hAnsiTheme="minorHAnsi" w:cs="Arial"/>
          <w:i/>
          <w:lang w:eastAsia="pl-PL"/>
        </w:rPr>
        <w:t xml:space="preserve">Liczba jednostek terytorialnego, które przedłożyły do </w:t>
      </w:r>
      <w:r w:rsidRPr="00A96E5F">
        <w:rPr>
          <w:rFonts w:asciiTheme="minorHAnsi" w:eastAsia="Times New Roman" w:hAnsiTheme="minorHAnsi" w:cs="Arial"/>
          <w:i/>
          <w:lang w:eastAsia="pl-PL"/>
        </w:rPr>
        <w:lastRenderedPageBreak/>
        <w:t>samorządu zatwierdzenia dokumenty dotyczące planowania przestrzennego wypracowane wspólnie z NGO</w:t>
      </w:r>
      <w:r w:rsidRPr="00A96E5F">
        <w:rPr>
          <w:rFonts w:asciiTheme="minorHAnsi" w:eastAsia="Times New Roman" w:hAnsiTheme="minorHAnsi" w:cs="Arial"/>
          <w:lang w:eastAsia="pl-PL"/>
        </w:rPr>
        <w:t>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Gmina zostanie poinformowana pisemnie oraz telefonicznie o planowanej wizycie monitoringowej na co najmniej 10 dni roboczych przed planowaną wizytą i jest zobligowana do wskazania osoby/osób, które będą wstanie udzielić zespołowi monitoringowemu informacji dotyczących przebiegu procesu pogłębionych konsultacji społecznych dokumentów planistycznych oraz przedstawić dokumenty potwierdzające ten proces.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W wyjątkowych sytuacjach, m.in. problemów ze realizowaniem pełnego etapu konsultacji, brakiem kontaktu ze strony gminy z jej opiekunem istnieje możliwość przeprowadzenia dodatkowych wizyt monitoringowych o których gmina zostanie poinformowana pisemnie i telefonicznie na co najmniej 10 dni przed planowanym spotkaniem.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1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Z każdej wizyty monitoringowej zostanie sporządzony raport oceniający postępy prac, weryfikujący realizację założonych rezultatów i ewentualne zalecenie dla gminy w celu usprawnienia działań związanych z realizacją Indywidualnych Planów Konsultacji, który zostanie przesłany do wiadomości gminy w wersji elektronicznej.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0"/>
        <w:ind w:left="1191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Gmina ma prawo odnieść się pisemnie do przedstawionego raportu i ewentualnie wnieść dodatkowe uwagi i uzupełnienia do przedstawionego dokumentu.</w:t>
      </w:r>
    </w:p>
    <w:p w:rsidR="00FE4F15" w:rsidRPr="00A96E5F" w:rsidRDefault="00FE4F15" w:rsidP="00FE4F15">
      <w:pPr>
        <w:spacing w:after="120"/>
        <w:rPr>
          <w:rFonts w:asciiTheme="minorHAnsi" w:eastAsia="Times New Roman" w:hAnsiTheme="minorHAnsi" w:cs="Arial"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>Odzyskiwanie grantów w przypadku ich wykorzystania niezgodnie z celami projektu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 xml:space="preserve">W związku z ciążącą na </w:t>
      </w:r>
      <w:r>
        <w:rPr>
          <w:rFonts w:asciiTheme="minorHAnsi" w:eastAsia="Times New Roman" w:hAnsiTheme="minorHAnsi" w:cs="Arial"/>
          <w:lang w:eastAsia="pl-PL"/>
        </w:rPr>
        <w:t>Partnerstwie</w:t>
      </w:r>
      <w:r w:rsidRPr="00A96E5F">
        <w:rPr>
          <w:rFonts w:asciiTheme="minorHAnsi" w:eastAsia="Times New Roman" w:hAnsiTheme="minorHAnsi" w:cs="Arial"/>
          <w:lang w:eastAsia="pl-PL"/>
        </w:rPr>
        <w:t xml:space="preserve"> odpowiedzialnością za </w:t>
      </w:r>
      <w:r>
        <w:rPr>
          <w:rFonts w:asciiTheme="minorHAnsi" w:hAnsiTheme="minorHAnsi"/>
        </w:rPr>
        <w:t>prawidłowe wykorzystanie i </w:t>
      </w:r>
      <w:r w:rsidRPr="00A96E5F">
        <w:rPr>
          <w:rFonts w:asciiTheme="minorHAnsi" w:hAnsiTheme="minorHAnsi"/>
        </w:rPr>
        <w:t>rozliczenie grantów</w:t>
      </w:r>
      <w:r w:rsidRPr="00A96E5F">
        <w:rPr>
          <w:rFonts w:asciiTheme="minorHAnsi" w:eastAsia="Times New Roman" w:hAnsiTheme="minorHAnsi" w:cs="Arial"/>
          <w:lang w:eastAsia="pl-PL"/>
        </w:rPr>
        <w:t xml:space="preserve"> w przypadku wykorzystania przez Grantobiorcę grantu niezgodnie z celami projektu grantowego lub umowy powierzenia grantu jest on zobowiązany do zwrotu całości lub części grantu, które dotyczy nieprawidłowość.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Przez wydatkowanie grantu niezgodnie z przeznaczenie rozumie się inne cele niż wsparcie procesu pogłębionych konsultacji społecznych dokumentów planistycznych w oparciu o Indywidualny Plan Konsultacji i jego ewentualne aktualizacje.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A96E5F">
        <w:rPr>
          <w:rFonts w:asciiTheme="minorHAnsi" w:eastAsia="Times New Roman" w:hAnsiTheme="minorHAnsi" w:cs="Arial"/>
          <w:lang w:eastAsia="pl-PL"/>
        </w:rPr>
        <w:t>Grantobiorca, który wykorzystał grant lub jego część niezgodnie z przeznaczeniem jest zobowiązany zwrócić należne zobowiązania w terminie 14 dni roboczych od otrzymania wezwanie na konto bankowe wskazane w niniejszym wezwaniu.</w:t>
      </w:r>
    </w:p>
    <w:p w:rsidR="00FE4F15" w:rsidRPr="00A96E5F" w:rsidRDefault="00FE4F15" w:rsidP="00FE4F15">
      <w:pPr>
        <w:spacing w:after="120"/>
        <w:rPr>
          <w:rFonts w:asciiTheme="minorHAnsi" w:eastAsia="Times New Roman" w:hAnsiTheme="minorHAnsi" w:cs="Arial"/>
          <w:lang w:eastAsia="pl-PL"/>
        </w:rPr>
      </w:pPr>
    </w:p>
    <w:p w:rsidR="00FE4F15" w:rsidRPr="00A96E5F" w:rsidRDefault="00FE4F15" w:rsidP="00FE4F15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eastAsia="Times New Roman" w:hAnsiTheme="minorHAnsi" w:cs="Arial"/>
          <w:b/>
          <w:lang w:eastAsia="pl-PL"/>
        </w:rPr>
        <w:t>Postanowienia końcowe</w:t>
      </w:r>
    </w:p>
    <w:p w:rsidR="00FE4F15" w:rsidRPr="00A96E5F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  <w:color w:val="000000"/>
        </w:rPr>
        <w:t xml:space="preserve">Grantodawcy </w:t>
      </w:r>
      <w:r w:rsidRPr="00A96E5F">
        <w:rPr>
          <w:rFonts w:asciiTheme="minorHAnsi" w:hAnsiTheme="minorHAnsi"/>
        </w:rPr>
        <w:t xml:space="preserve">mają możliwość </w:t>
      </w:r>
      <w:r w:rsidRPr="00A96E5F">
        <w:rPr>
          <w:rFonts w:asciiTheme="minorHAnsi" w:eastAsia="Times New Roman" w:hAnsiTheme="minorHAnsi" w:cs="Arial"/>
          <w:lang w:eastAsia="pl-PL"/>
        </w:rPr>
        <w:t>wprowadzania</w:t>
      </w:r>
      <w:r w:rsidRPr="00A96E5F">
        <w:rPr>
          <w:rFonts w:asciiTheme="minorHAnsi" w:hAnsiTheme="minorHAnsi"/>
        </w:rPr>
        <w:t xml:space="preserve"> zmian do niniejszego regulaminu, a także do interpretowania zawartych w nim zapisów.</w:t>
      </w:r>
    </w:p>
    <w:p w:rsidR="00BF05B6" w:rsidRPr="00FE4F15" w:rsidRDefault="00FE4F15" w:rsidP="00FE4F15">
      <w:pPr>
        <w:pStyle w:val="Akapitzlist"/>
        <w:numPr>
          <w:ilvl w:val="1"/>
          <w:numId w:val="10"/>
        </w:numPr>
        <w:spacing w:after="120"/>
        <w:ind w:left="1190" w:hanging="448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96E5F">
        <w:rPr>
          <w:rFonts w:asciiTheme="minorHAnsi" w:hAnsiTheme="minorHAnsi"/>
        </w:rPr>
        <w:t xml:space="preserve">Zmiany i interpretacje będą publikowane na stronie internetowej </w:t>
      </w:r>
      <w:r>
        <w:rPr>
          <w:rFonts w:asciiTheme="minorHAnsi" w:hAnsiTheme="minorHAnsi"/>
        </w:rPr>
        <w:t>Grantodawcy</w:t>
      </w:r>
      <w:r w:rsidRPr="00A96E5F">
        <w:rPr>
          <w:rFonts w:asciiTheme="minorHAnsi" w:hAnsiTheme="minorHAnsi"/>
        </w:rPr>
        <w:t>. Gminy, które rozpoczną procedurę rekrutacji przed wprowadzeniem zmian zostaną poinformowane o nich bezpośrednio.</w:t>
      </w:r>
      <w:bookmarkStart w:id="0" w:name="_GoBack"/>
      <w:bookmarkEnd w:id="0"/>
    </w:p>
    <w:sectPr w:rsidR="00BF05B6" w:rsidRPr="00FE4F15" w:rsidSect="00EC27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6B" w:rsidRDefault="009E726B" w:rsidP="00281B8E">
      <w:pPr>
        <w:spacing w:after="0" w:line="240" w:lineRule="auto"/>
      </w:pPr>
      <w:r>
        <w:separator/>
      </w:r>
    </w:p>
  </w:endnote>
  <w:endnote w:type="continuationSeparator" w:id="0">
    <w:p w:rsidR="009E726B" w:rsidRDefault="009E726B" w:rsidP="0028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48" w:rsidRDefault="00FE4F15" w:rsidP="004F7A48">
    <w:pPr>
      <w:pStyle w:val="Stopka"/>
      <w:spacing w:before="120"/>
    </w:pPr>
    <w:r>
      <w:rPr>
        <w:noProof/>
        <w:lang w:eastAsia="pl-PL"/>
      </w:rPr>
      <w:drawing>
        <wp:inline distT="0" distB="0" distL="0" distR="0">
          <wp:extent cx="5760720" cy="739775"/>
          <wp:effectExtent l="0" t="0" r="0" b="3175"/>
          <wp:docPr id="1" name="Obraz 1" descr="C:\Users\Janusz\Desktop\2.19\Logotypy\FE_POWER_barwy_RP_EFS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2.19\Logotypy\FE_POWER_barwy_RP_EFS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6B" w:rsidRDefault="009E726B" w:rsidP="00281B8E">
      <w:pPr>
        <w:spacing w:after="0" w:line="240" w:lineRule="auto"/>
      </w:pPr>
      <w:r>
        <w:separator/>
      </w:r>
    </w:p>
  </w:footnote>
  <w:footnote w:type="continuationSeparator" w:id="0">
    <w:p w:rsidR="009E726B" w:rsidRDefault="009E726B" w:rsidP="00281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FC6"/>
    <w:multiLevelType w:val="multilevel"/>
    <w:tmpl w:val="89A60E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457344B"/>
    <w:multiLevelType w:val="multilevel"/>
    <w:tmpl w:val="C67E61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4D755C0"/>
    <w:multiLevelType w:val="multilevel"/>
    <w:tmpl w:val="A45AA1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CB82496"/>
    <w:multiLevelType w:val="multilevel"/>
    <w:tmpl w:val="A45AA1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6585944"/>
    <w:multiLevelType w:val="multilevel"/>
    <w:tmpl w:val="FD5684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6782F17"/>
    <w:multiLevelType w:val="multilevel"/>
    <w:tmpl w:val="04D47E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98242D5"/>
    <w:multiLevelType w:val="hybridMultilevel"/>
    <w:tmpl w:val="4D785206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B2623"/>
    <w:multiLevelType w:val="multilevel"/>
    <w:tmpl w:val="B8647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416A3FFD"/>
    <w:multiLevelType w:val="multilevel"/>
    <w:tmpl w:val="A45AA1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0E17DD9"/>
    <w:multiLevelType w:val="multilevel"/>
    <w:tmpl w:val="82D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8E47CCD"/>
    <w:multiLevelType w:val="hybridMultilevel"/>
    <w:tmpl w:val="3754F3A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B481B23"/>
    <w:multiLevelType w:val="hybridMultilevel"/>
    <w:tmpl w:val="2A7AF7F2"/>
    <w:lvl w:ilvl="0" w:tplc="9F8436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D833C7"/>
    <w:multiLevelType w:val="multilevel"/>
    <w:tmpl w:val="C5CCA6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B967A7E"/>
    <w:multiLevelType w:val="hybridMultilevel"/>
    <w:tmpl w:val="2A7AF7F2"/>
    <w:lvl w:ilvl="0" w:tplc="9F8436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775E4D"/>
    <w:multiLevelType w:val="multilevel"/>
    <w:tmpl w:val="5B3208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2"/>
  </w:num>
  <w:num w:numId="5">
    <w:abstractNumId w:val="5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F15"/>
    <w:rsid w:val="00281B8E"/>
    <w:rsid w:val="006B71FE"/>
    <w:rsid w:val="009E726B"/>
    <w:rsid w:val="00BF05B6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F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F15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FE4F15"/>
    <w:rPr>
      <w:vertAlign w:val="superscript"/>
    </w:rPr>
  </w:style>
  <w:style w:type="character" w:customStyle="1" w:styleId="fontstyle01">
    <w:name w:val="fontstyle01"/>
    <w:rsid w:val="00FE4F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F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F15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FE4F15"/>
    <w:rPr>
      <w:vertAlign w:val="superscript"/>
    </w:rPr>
  </w:style>
  <w:style w:type="character" w:customStyle="1" w:styleId="fontstyle01">
    <w:name w:val="fontstyle01"/>
    <w:rsid w:val="00FE4F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3405</Words>
  <Characters>20431</Characters>
  <Application>Microsoft Office Word</Application>
  <DocSecurity>0</DocSecurity>
  <Lines>170</Lines>
  <Paragraphs>47</Paragraphs>
  <ScaleCrop>false</ScaleCrop>
  <Company/>
  <LinksUpToDate>false</LinksUpToDate>
  <CharactersWithSpaces>23789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Karolina Bujak</cp:lastModifiedBy>
  <cp:revision>2</cp:revision>
  <dcterms:created xsi:type="dcterms:W3CDTF">2023-09-18T06:57:00Z</dcterms:created>
  <dcterms:modified xsi:type="dcterms:W3CDTF">2023-09-18T06:57:00Z</dcterms:modified>
</cp:coreProperties>
</file>